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88FB" w14:textId="77777777" w:rsidR="0039113F" w:rsidRPr="00EA20E3" w:rsidRDefault="0039113F" w:rsidP="0039113F">
      <w:pPr>
        <w:tabs>
          <w:tab w:val="left" w:pos="1182"/>
          <w:tab w:val="left" w:pos="6317"/>
          <w:tab w:val="right" w:pos="9639"/>
        </w:tabs>
        <w:spacing w:before="240" w:after="240" w:line="360" w:lineRule="auto"/>
        <w:rPr>
          <w:b/>
          <w:sz w:val="24"/>
          <w:szCs w:val="24"/>
        </w:rPr>
      </w:pPr>
      <w:r w:rsidRPr="00EA20E3">
        <w:rPr>
          <w:b/>
          <w:sz w:val="24"/>
          <w:szCs w:val="24"/>
        </w:rPr>
        <w:tab/>
      </w:r>
      <w:r w:rsidRPr="00EA20E3">
        <w:rPr>
          <w:b/>
          <w:sz w:val="24"/>
          <w:szCs w:val="24"/>
        </w:rPr>
        <w:tab/>
      </w:r>
      <w:r w:rsidRPr="00EA20E3">
        <w:rPr>
          <w:b/>
          <w:sz w:val="24"/>
          <w:szCs w:val="24"/>
        </w:rPr>
        <w:tab/>
      </w:r>
    </w:p>
    <w:p w14:paraId="1FD5EB3D" w14:textId="77777777" w:rsidR="00950555" w:rsidRPr="00A0455C" w:rsidRDefault="0039113F" w:rsidP="00E23D8A">
      <w:pPr>
        <w:pStyle w:val="a7"/>
        <w:rPr>
          <w:sz w:val="36"/>
          <w:szCs w:val="36"/>
        </w:rPr>
      </w:pPr>
      <w:r w:rsidRPr="00AF3824">
        <w:rPr>
          <w:sz w:val="36"/>
          <w:szCs w:val="36"/>
        </w:rPr>
        <w:t>Πανελλαδική έρευνα RE/MAX Ελλάς</w:t>
      </w:r>
      <w:r w:rsidR="00C3433B">
        <w:rPr>
          <w:sz w:val="36"/>
          <w:szCs w:val="36"/>
        </w:rPr>
        <w:t xml:space="preserve">: Προφίλ </w:t>
      </w:r>
      <w:r w:rsidR="009C7C3B">
        <w:rPr>
          <w:sz w:val="36"/>
          <w:szCs w:val="36"/>
        </w:rPr>
        <w:t xml:space="preserve">αγοραπωλησιών </w:t>
      </w:r>
      <w:r w:rsidR="00C3433B">
        <w:rPr>
          <w:sz w:val="36"/>
          <w:szCs w:val="36"/>
        </w:rPr>
        <w:t>ακινήτων βάσει τετραγωνικών</w:t>
      </w:r>
    </w:p>
    <w:p w14:paraId="6CAE45C5" w14:textId="77777777" w:rsidR="00256A13" w:rsidRDefault="00E23D8A" w:rsidP="00950555">
      <w:pPr>
        <w:tabs>
          <w:tab w:val="right" w:pos="9639"/>
        </w:tabs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Στροφή σε κατοικίες με μεγαλύτερους χώρους ώστε να καλύπτουν με άνεση </w:t>
      </w:r>
      <w:r w:rsidR="009C7C3B">
        <w:rPr>
          <w:sz w:val="24"/>
          <w:szCs w:val="24"/>
        </w:rPr>
        <w:t xml:space="preserve">τις στεγαστικές τους ανάγκες πραγματοποιούν </w:t>
      </w:r>
      <w:r w:rsidR="0048105C">
        <w:rPr>
          <w:sz w:val="24"/>
          <w:szCs w:val="24"/>
        </w:rPr>
        <w:t>τον τελευταίο καιρό</w:t>
      </w:r>
      <w:r w:rsidR="009C7C3B">
        <w:rPr>
          <w:sz w:val="24"/>
          <w:szCs w:val="24"/>
        </w:rPr>
        <w:t xml:space="preserve"> οι </w:t>
      </w:r>
      <w:r>
        <w:rPr>
          <w:sz w:val="24"/>
          <w:szCs w:val="24"/>
        </w:rPr>
        <w:t>Έλληνες αγοραστές ακινήτων</w:t>
      </w:r>
      <w:r w:rsidR="00937A31">
        <w:rPr>
          <w:sz w:val="24"/>
          <w:szCs w:val="24"/>
        </w:rPr>
        <w:t xml:space="preserve">. </w:t>
      </w:r>
      <w:r w:rsidR="00801BF0">
        <w:rPr>
          <w:sz w:val="24"/>
          <w:szCs w:val="24"/>
        </w:rPr>
        <w:t>Καθοριστικ</w:t>
      </w:r>
      <w:r w:rsidR="00636F80">
        <w:rPr>
          <w:sz w:val="24"/>
          <w:szCs w:val="24"/>
        </w:rPr>
        <w:t xml:space="preserve">οί </w:t>
      </w:r>
      <w:r w:rsidR="00801BF0">
        <w:rPr>
          <w:sz w:val="24"/>
          <w:szCs w:val="24"/>
        </w:rPr>
        <w:t>παράγοντ</w:t>
      </w:r>
      <w:r w:rsidR="00021DF0">
        <w:rPr>
          <w:sz w:val="24"/>
          <w:szCs w:val="24"/>
        </w:rPr>
        <w:t>ε</w:t>
      </w:r>
      <w:r w:rsidR="00801BF0">
        <w:rPr>
          <w:sz w:val="24"/>
          <w:szCs w:val="24"/>
        </w:rPr>
        <w:t xml:space="preserve">ς </w:t>
      </w:r>
      <w:r w:rsidR="00937A31">
        <w:rPr>
          <w:sz w:val="24"/>
          <w:szCs w:val="24"/>
        </w:rPr>
        <w:t>επιλογή</w:t>
      </w:r>
      <w:r w:rsidR="00801BF0">
        <w:rPr>
          <w:sz w:val="24"/>
          <w:szCs w:val="24"/>
        </w:rPr>
        <w:t>ς</w:t>
      </w:r>
      <w:r w:rsidR="00937A31">
        <w:rPr>
          <w:sz w:val="24"/>
          <w:szCs w:val="24"/>
        </w:rPr>
        <w:t xml:space="preserve"> ενός διαμερίσματος, μίας μονοκατοικίας ή μεζονέτας </w:t>
      </w:r>
      <w:r w:rsidR="00636F80">
        <w:rPr>
          <w:sz w:val="24"/>
          <w:szCs w:val="24"/>
        </w:rPr>
        <w:t xml:space="preserve">αποτελούν εκτός της τοποθεσίας και της ηλικίας, </w:t>
      </w:r>
      <w:r w:rsidR="00A8099F">
        <w:rPr>
          <w:sz w:val="24"/>
          <w:szCs w:val="24"/>
        </w:rPr>
        <w:t>το εμβαδόν και η διαρρύθμισή του, ενώ αποδεικνύεται ότι 4 στα 10 ακίνητα που πωλούνται πανελλαδικά είναι επιφάνειας άνω των 90 τετραγωνικών μέτρων.</w:t>
      </w:r>
    </w:p>
    <w:p w14:paraId="74B782C3" w14:textId="7A440B79" w:rsidR="00BA319E" w:rsidRDefault="00950555" w:rsidP="006C338B">
      <w:pPr>
        <w:tabs>
          <w:tab w:val="right" w:pos="9639"/>
        </w:tabs>
        <w:spacing w:before="120" w:after="120" w:line="36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Όπως προκύπτει</w:t>
      </w:r>
      <w:r w:rsidR="00F473F6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από τα στοιχεία πώλησης </w:t>
      </w:r>
      <w:r w:rsidR="00A74A54">
        <w:rPr>
          <w:color w:val="000000"/>
          <w:sz w:val="24"/>
          <w:szCs w:val="24"/>
          <w:shd w:val="clear" w:color="auto" w:fill="FFFFFF"/>
        </w:rPr>
        <w:t xml:space="preserve">οικιστικών </w:t>
      </w:r>
      <w:r>
        <w:rPr>
          <w:color w:val="000000"/>
          <w:sz w:val="24"/>
          <w:szCs w:val="24"/>
          <w:shd w:val="clear" w:color="auto" w:fill="FFFFFF"/>
        </w:rPr>
        <w:t>ακινήτων που πραγματοποιήθηκαν</w:t>
      </w:r>
      <w:r w:rsidR="00021DF0">
        <w:rPr>
          <w:color w:val="000000"/>
          <w:sz w:val="24"/>
          <w:szCs w:val="24"/>
          <w:shd w:val="clear" w:color="auto" w:fill="FFFFFF"/>
        </w:rPr>
        <w:t xml:space="preserve"> το 2020 σε πανελλαδικό επίπεδο</w:t>
      </w:r>
      <w:r>
        <w:rPr>
          <w:color w:val="000000"/>
          <w:sz w:val="24"/>
          <w:szCs w:val="24"/>
          <w:shd w:val="clear" w:color="auto" w:fill="FFFFFF"/>
        </w:rPr>
        <w:t xml:space="preserve"> μέσω της </w:t>
      </w:r>
      <w:r w:rsidRPr="005A3880">
        <w:rPr>
          <w:color w:val="000000"/>
          <w:sz w:val="24"/>
          <w:szCs w:val="24"/>
          <w:shd w:val="clear" w:color="auto" w:fill="FFFFFF"/>
        </w:rPr>
        <w:t>RE</w:t>
      </w:r>
      <w:r w:rsidRPr="00843F0D">
        <w:rPr>
          <w:color w:val="000000"/>
          <w:sz w:val="24"/>
          <w:szCs w:val="24"/>
          <w:shd w:val="clear" w:color="auto" w:fill="FFFFFF"/>
        </w:rPr>
        <w:t>/</w:t>
      </w:r>
      <w:r w:rsidRPr="005A3880">
        <w:rPr>
          <w:color w:val="000000"/>
          <w:sz w:val="24"/>
          <w:szCs w:val="24"/>
          <w:shd w:val="clear" w:color="auto" w:fill="FFFFFF"/>
        </w:rPr>
        <w:t>MAX</w:t>
      </w:r>
      <w:r>
        <w:rPr>
          <w:color w:val="000000"/>
          <w:sz w:val="24"/>
          <w:szCs w:val="24"/>
          <w:shd w:val="clear" w:color="auto" w:fill="FFFFFF"/>
        </w:rPr>
        <w:t xml:space="preserve"> Ε</w:t>
      </w:r>
      <w:r w:rsidR="003D49EB">
        <w:rPr>
          <w:color w:val="000000"/>
          <w:sz w:val="24"/>
          <w:szCs w:val="24"/>
          <w:shd w:val="clear" w:color="auto" w:fill="FFFFFF"/>
        </w:rPr>
        <w:t>λλάς</w:t>
      </w:r>
      <w:r w:rsidRPr="00843F0D">
        <w:rPr>
          <w:color w:val="000000"/>
          <w:sz w:val="24"/>
          <w:szCs w:val="24"/>
          <w:shd w:val="clear" w:color="auto" w:fill="FFFFFF"/>
        </w:rPr>
        <w:t xml:space="preserve">, </w:t>
      </w:r>
      <w:r>
        <w:rPr>
          <w:color w:val="000000"/>
          <w:sz w:val="24"/>
          <w:szCs w:val="24"/>
          <w:shd w:val="clear" w:color="auto" w:fill="FFFFFF"/>
        </w:rPr>
        <w:t>του μεγαλύτερου δικτύου</w:t>
      </w:r>
      <w:r w:rsidR="0086619A">
        <w:rPr>
          <w:color w:val="000000"/>
          <w:sz w:val="24"/>
          <w:szCs w:val="24"/>
          <w:shd w:val="clear" w:color="auto" w:fill="FFFFFF"/>
        </w:rPr>
        <w:t xml:space="preserve"> κτηματομεσιτικών γραφείων</w:t>
      </w:r>
      <w:r>
        <w:rPr>
          <w:color w:val="000000"/>
          <w:sz w:val="24"/>
          <w:szCs w:val="24"/>
          <w:shd w:val="clear" w:color="auto" w:fill="FFFFFF"/>
        </w:rPr>
        <w:t xml:space="preserve"> στη χώρα</w:t>
      </w:r>
      <w:r w:rsidR="00A74A54">
        <w:rPr>
          <w:color w:val="000000"/>
          <w:sz w:val="24"/>
          <w:szCs w:val="24"/>
          <w:shd w:val="clear" w:color="auto" w:fill="FFFFFF"/>
        </w:rPr>
        <w:t>,</w:t>
      </w:r>
      <w:r w:rsidR="00C73A0C">
        <w:rPr>
          <w:color w:val="000000"/>
          <w:sz w:val="24"/>
          <w:szCs w:val="24"/>
          <w:shd w:val="clear" w:color="auto" w:fill="FFFFFF"/>
        </w:rPr>
        <w:t xml:space="preserve"> </w:t>
      </w:r>
      <w:r w:rsidR="00F44C12">
        <w:rPr>
          <w:color w:val="000000"/>
          <w:sz w:val="24"/>
          <w:szCs w:val="24"/>
          <w:shd w:val="clear" w:color="auto" w:fill="FFFFFF"/>
        </w:rPr>
        <w:t xml:space="preserve">την υψηλότερη ζήτηση εμφάνισαν κατοικίες με εμβαδόν από 71 έως 90 τ.μ. καθώς για κάθε 100 αγοραπωλησίες οι 23 </w:t>
      </w:r>
      <w:r w:rsidR="00C73A0C">
        <w:rPr>
          <w:color w:val="000000"/>
          <w:sz w:val="24"/>
          <w:szCs w:val="24"/>
          <w:shd w:val="clear" w:color="auto" w:fill="FFFFFF"/>
        </w:rPr>
        <w:t xml:space="preserve">αφορούσαν τα </w:t>
      </w:r>
      <w:r w:rsidR="00F44C12">
        <w:rPr>
          <w:color w:val="000000"/>
          <w:sz w:val="24"/>
          <w:szCs w:val="24"/>
          <w:shd w:val="clear" w:color="auto" w:fill="FFFFFF"/>
        </w:rPr>
        <w:t>συγκεκριμένα τετραγων</w:t>
      </w:r>
      <w:r w:rsidR="0048105C">
        <w:rPr>
          <w:color w:val="000000"/>
          <w:sz w:val="24"/>
          <w:szCs w:val="24"/>
          <w:shd w:val="clear" w:color="auto" w:fill="FFFFFF"/>
        </w:rPr>
        <w:t>ικά ενώ</w:t>
      </w:r>
      <w:r w:rsidR="00BF26F3">
        <w:rPr>
          <w:color w:val="000000"/>
          <w:sz w:val="24"/>
          <w:szCs w:val="24"/>
          <w:shd w:val="clear" w:color="auto" w:fill="FFFFFF"/>
        </w:rPr>
        <w:t xml:space="preserve"> </w:t>
      </w:r>
      <w:r w:rsidR="0048105C">
        <w:rPr>
          <w:color w:val="000000"/>
          <w:sz w:val="24"/>
          <w:szCs w:val="24"/>
          <w:shd w:val="clear" w:color="auto" w:fill="FFFFFF"/>
        </w:rPr>
        <w:t>σ</w:t>
      </w:r>
      <w:r w:rsidR="00831029">
        <w:rPr>
          <w:color w:val="000000"/>
          <w:sz w:val="24"/>
          <w:szCs w:val="24"/>
          <w:shd w:val="clear" w:color="auto" w:fill="FFFFFF"/>
        </w:rPr>
        <w:t xml:space="preserve">ημαντικό </w:t>
      </w:r>
      <w:r w:rsidR="0048105C">
        <w:rPr>
          <w:color w:val="000000"/>
          <w:sz w:val="24"/>
          <w:szCs w:val="24"/>
          <w:shd w:val="clear" w:color="auto" w:fill="FFFFFF"/>
        </w:rPr>
        <w:t xml:space="preserve">ήταν το </w:t>
      </w:r>
      <w:r w:rsidR="00831029">
        <w:rPr>
          <w:color w:val="000000"/>
          <w:sz w:val="24"/>
          <w:szCs w:val="24"/>
          <w:shd w:val="clear" w:color="auto" w:fill="FFFFFF"/>
        </w:rPr>
        <w:t xml:space="preserve">αγοραστικό ενδιαφέρον </w:t>
      </w:r>
      <w:r w:rsidR="0048105C">
        <w:rPr>
          <w:color w:val="000000"/>
          <w:sz w:val="24"/>
          <w:szCs w:val="24"/>
          <w:shd w:val="clear" w:color="auto" w:fill="FFFFFF"/>
        </w:rPr>
        <w:t>για τα ακίνητα έως 50 τ.μ.</w:t>
      </w:r>
      <w:r w:rsidR="006F310C">
        <w:rPr>
          <w:color w:val="000000"/>
          <w:sz w:val="24"/>
          <w:szCs w:val="24"/>
          <w:shd w:val="clear" w:color="auto" w:fill="FFFFFF"/>
        </w:rPr>
        <w:t xml:space="preserve"> (19%).</w:t>
      </w:r>
    </w:p>
    <w:p w14:paraId="3F2057C5" w14:textId="77777777" w:rsidR="00291797" w:rsidRDefault="00A721AB" w:rsidP="0039113F">
      <w:pPr>
        <w:tabs>
          <w:tab w:val="right" w:pos="9639"/>
        </w:tabs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Συνολικά</w:t>
      </w:r>
      <w:r w:rsidR="00021DF0">
        <w:rPr>
          <w:sz w:val="24"/>
          <w:szCs w:val="24"/>
        </w:rPr>
        <w:t>,</w:t>
      </w:r>
      <w:r>
        <w:rPr>
          <w:sz w:val="24"/>
          <w:szCs w:val="24"/>
        </w:rPr>
        <w:t xml:space="preserve"> η </w:t>
      </w:r>
      <w:r w:rsidR="0077549A" w:rsidRPr="00EA20E3">
        <w:rPr>
          <w:sz w:val="24"/>
          <w:szCs w:val="24"/>
        </w:rPr>
        <w:t xml:space="preserve">κατηγορία </w:t>
      </w:r>
      <w:r>
        <w:rPr>
          <w:sz w:val="24"/>
          <w:szCs w:val="24"/>
        </w:rPr>
        <w:t>ακινήτων έως 90 τ.μ.</w:t>
      </w:r>
      <w:r w:rsidR="0077549A" w:rsidRPr="00EA20E3">
        <w:rPr>
          <w:sz w:val="24"/>
          <w:szCs w:val="24"/>
        </w:rPr>
        <w:t xml:space="preserve"> </w:t>
      </w:r>
      <w:r w:rsidR="00FC2CD7">
        <w:rPr>
          <w:sz w:val="24"/>
          <w:szCs w:val="24"/>
        </w:rPr>
        <w:t>επιλέχθηκε από το 59% του συνόλου των αγοραστών, ενώ α</w:t>
      </w:r>
      <w:r w:rsidR="0077549A" w:rsidRPr="00EA20E3">
        <w:rPr>
          <w:sz w:val="24"/>
          <w:szCs w:val="24"/>
        </w:rPr>
        <w:t>ξιοσημείωτο είναι το</w:t>
      </w:r>
      <w:r w:rsidR="00FC2CD7">
        <w:rPr>
          <w:sz w:val="24"/>
          <w:szCs w:val="24"/>
        </w:rPr>
        <w:t xml:space="preserve"> γεγονός ότι ακίνητα εμβαδού άνω των 171 τ.μ. επέλεξαν 14 στους 100 αγοραστές</w:t>
      </w:r>
      <w:r w:rsidR="005316F3">
        <w:rPr>
          <w:sz w:val="24"/>
          <w:szCs w:val="24"/>
        </w:rPr>
        <w:t xml:space="preserve">, </w:t>
      </w:r>
      <w:r w:rsidR="00291797">
        <w:rPr>
          <w:sz w:val="24"/>
          <w:szCs w:val="24"/>
        </w:rPr>
        <w:t>τη στιγμή που</w:t>
      </w:r>
      <w:r w:rsidR="005316F3">
        <w:rPr>
          <w:sz w:val="24"/>
          <w:szCs w:val="24"/>
        </w:rPr>
        <w:t xml:space="preserve"> τη συγκεκριμένη κατηγορία ακινήτων πριν ξεσπάσει η πανδημία είχ</w:t>
      </w:r>
      <w:r w:rsidR="00291797">
        <w:rPr>
          <w:sz w:val="24"/>
          <w:szCs w:val="24"/>
        </w:rPr>
        <w:t>αν</w:t>
      </w:r>
      <w:r w:rsidR="005316F3">
        <w:rPr>
          <w:sz w:val="24"/>
          <w:szCs w:val="24"/>
        </w:rPr>
        <w:t xml:space="preserve"> επιλέξει μόλις </w:t>
      </w:r>
      <w:r w:rsidR="000A3222">
        <w:rPr>
          <w:sz w:val="24"/>
          <w:szCs w:val="24"/>
        </w:rPr>
        <w:t>4</w:t>
      </w:r>
      <w:r w:rsidR="000A3222" w:rsidRPr="000A3222">
        <w:rPr>
          <w:sz w:val="24"/>
          <w:szCs w:val="24"/>
        </w:rPr>
        <w:t xml:space="preserve"> </w:t>
      </w:r>
      <w:r w:rsidR="00291797">
        <w:rPr>
          <w:sz w:val="24"/>
          <w:szCs w:val="24"/>
        </w:rPr>
        <w:t>στους 100</w:t>
      </w:r>
      <w:r w:rsidR="00FC2CD7">
        <w:rPr>
          <w:sz w:val="24"/>
          <w:szCs w:val="24"/>
        </w:rPr>
        <w:t>.</w:t>
      </w:r>
    </w:p>
    <w:p w14:paraId="56D3EDD1" w14:textId="77777777" w:rsidR="005316F3" w:rsidRPr="00EA20E3" w:rsidRDefault="00C2550D" w:rsidP="0039113F">
      <w:pPr>
        <w:tabs>
          <w:tab w:val="right" w:pos="9639"/>
        </w:tabs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Για τις </w:t>
      </w:r>
      <w:r w:rsidR="005316F3">
        <w:rPr>
          <w:sz w:val="24"/>
          <w:szCs w:val="24"/>
        </w:rPr>
        <w:t xml:space="preserve">υπόλοιπες </w:t>
      </w:r>
      <w:r>
        <w:rPr>
          <w:sz w:val="24"/>
          <w:szCs w:val="24"/>
        </w:rPr>
        <w:t xml:space="preserve">κατηγορίες </w:t>
      </w:r>
      <w:r w:rsidR="003A6376">
        <w:rPr>
          <w:sz w:val="24"/>
          <w:szCs w:val="24"/>
        </w:rPr>
        <w:t xml:space="preserve">οικιστικών </w:t>
      </w:r>
      <w:r>
        <w:rPr>
          <w:sz w:val="24"/>
          <w:szCs w:val="24"/>
        </w:rPr>
        <w:t>ακινήτων</w:t>
      </w:r>
      <w:r w:rsidR="00697D2D">
        <w:rPr>
          <w:sz w:val="24"/>
          <w:szCs w:val="24"/>
        </w:rPr>
        <w:t>,</w:t>
      </w:r>
      <w:r w:rsidR="005316F3">
        <w:rPr>
          <w:sz w:val="24"/>
          <w:szCs w:val="24"/>
        </w:rPr>
        <w:t xml:space="preserve"> </w:t>
      </w:r>
      <w:r w:rsidR="00697D2D">
        <w:rPr>
          <w:sz w:val="24"/>
          <w:szCs w:val="24"/>
        </w:rPr>
        <w:t xml:space="preserve">τα στοιχεία βάσει των αγοραπωλησιών που πραγματοποιήθηκαν </w:t>
      </w:r>
      <w:r w:rsidR="003A6376">
        <w:rPr>
          <w:sz w:val="24"/>
          <w:szCs w:val="24"/>
        </w:rPr>
        <w:t xml:space="preserve">το 2020 μέσω του κτηματομεσιτικού δικτύου της </w:t>
      </w:r>
      <w:r w:rsidR="003A6376">
        <w:rPr>
          <w:sz w:val="24"/>
          <w:szCs w:val="24"/>
          <w:lang w:val="en-US"/>
        </w:rPr>
        <w:t>RE</w:t>
      </w:r>
      <w:r w:rsidR="003A6376" w:rsidRPr="003A6376">
        <w:rPr>
          <w:sz w:val="24"/>
          <w:szCs w:val="24"/>
        </w:rPr>
        <w:t>/</w:t>
      </w:r>
      <w:r w:rsidR="003A6376">
        <w:rPr>
          <w:sz w:val="24"/>
          <w:szCs w:val="24"/>
          <w:lang w:val="en-US"/>
        </w:rPr>
        <w:t>MAX</w:t>
      </w:r>
      <w:r w:rsidR="003A6376" w:rsidRPr="003A6376">
        <w:rPr>
          <w:sz w:val="24"/>
          <w:szCs w:val="24"/>
        </w:rPr>
        <w:t xml:space="preserve"> </w:t>
      </w:r>
      <w:r w:rsidR="003A6376">
        <w:rPr>
          <w:sz w:val="24"/>
          <w:szCs w:val="24"/>
        </w:rPr>
        <w:t xml:space="preserve">Ελλάς δείχνουν ότι το ενδιαφέρον για εμβαδό από 51 έως 70 τ.μ. ανήλθε στο 17%, για εμβαδό από </w:t>
      </w:r>
      <w:r w:rsidR="00B1711A">
        <w:rPr>
          <w:sz w:val="24"/>
          <w:szCs w:val="24"/>
        </w:rPr>
        <w:t xml:space="preserve">91 έως 110 </w:t>
      </w:r>
      <w:r w:rsidR="003A6376">
        <w:rPr>
          <w:sz w:val="24"/>
          <w:szCs w:val="24"/>
        </w:rPr>
        <w:t>τ.μ.</w:t>
      </w:r>
      <w:r w:rsidR="00B1711A">
        <w:rPr>
          <w:sz w:val="24"/>
          <w:szCs w:val="24"/>
        </w:rPr>
        <w:t xml:space="preserve"> στο 13%, από 111 έως 130 τ.μ. στο 6%, από 131 έως 150 τ.μ. στο 3% και από 151 έως 170 τ.μ. στο 5%.</w:t>
      </w:r>
      <w:r w:rsidR="003A6376">
        <w:rPr>
          <w:sz w:val="24"/>
          <w:szCs w:val="24"/>
        </w:rPr>
        <w:t xml:space="preserve"> </w:t>
      </w:r>
      <w:r w:rsidR="00B1711A">
        <w:rPr>
          <w:sz w:val="24"/>
          <w:szCs w:val="24"/>
        </w:rPr>
        <w:t xml:space="preserve"> </w:t>
      </w:r>
      <w:r w:rsidR="001C7C4B">
        <w:rPr>
          <w:sz w:val="24"/>
          <w:szCs w:val="24"/>
        </w:rPr>
        <w:t>(Γράφημα 1)</w:t>
      </w:r>
    </w:p>
    <w:p w14:paraId="1B574F2F" w14:textId="77777777" w:rsidR="00B1711A" w:rsidRDefault="00B1711A" w:rsidP="0039113F">
      <w:pPr>
        <w:tabs>
          <w:tab w:val="right" w:pos="9639"/>
        </w:tabs>
        <w:spacing w:before="240" w:after="240" w:line="360" w:lineRule="auto"/>
        <w:rPr>
          <w:sz w:val="24"/>
          <w:szCs w:val="24"/>
        </w:rPr>
      </w:pPr>
    </w:p>
    <w:p w14:paraId="7F8572E5" w14:textId="77777777" w:rsidR="006F310C" w:rsidRDefault="006F310C" w:rsidP="0039113F">
      <w:pPr>
        <w:tabs>
          <w:tab w:val="right" w:pos="9639"/>
        </w:tabs>
        <w:spacing w:before="240" w:after="240" w:line="360" w:lineRule="auto"/>
        <w:rPr>
          <w:sz w:val="24"/>
          <w:szCs w:val="24"/>
        </w:rPr>
      </w:pPr>
    </w:p>
    <w:p w14:paraId="3D95BD91" w14:textId="77777777" w:rsidR="006F310C" w:rsidRPr="006F310C" w:rsidRDefault="006F310C" w:rsidP="0039113F">
      <w:pPr>
        <w:tabs>
          <w:tab w:val="right" w:pos="9639"/>
        </w:tabs>
        <w:spacing w:before="240" w:after="240" w:line="360" w:lineRule="auto"/>
        <w:rPr>
          <w:sz w:val="24"/>
          <w:szCs w:val="24"/>
          <w:lang w:val="en-US"/>
        </w:rPr>
      </w:pPr>
    </w:p>
    <w:p w14:paraId="34963F9D" w14:textId="77777777" w:rsidR="007572AC" w:rsidRPr="00EA20E3" w:rsidRDefault="007572AC" w:rsidP="0039113F">
      <w:pPr>
        <w:tabs>
          <w:tab w:val="right" w:pos="9639"/>
        </w:tabs>
        <w:spacing w:before="240" w:after="240" w:line="360" w:lineRule="auto"/>
        <w:rPr>
          <w:sz w:val="24"/>
          <w:szCs w:val="24"/>
        </w:rPr>
      </w:pPr>
      <w:r w:rsidRPr="00EA20E3">
        <w:rPr>
          <w:sz w:val="24"/>
          <w:szCs w:val="24"/>
        </w:rPr>
        <w:lastRenderedPageBreak/>
        <w:t xml:space="preserve">Γράφημα </w:t>
      </w:r>
      <w:r w:rsidR="005316F3">
        <w:rPr>
          <w:sz w:val="24"/>
          <w:szCs w:val="24"/>
        </w:rPr>
        <w:t>1</w:t>
      </w:r>
    </w:p>
    <w:p w14:paraId="03133F02" w14:textId="77777777" w:rsidR="002908A2" w:rsidRDefault="00713C98" w:rsidP="002908A2">
      <w:pPr>
        <w:tabs>
          <w:tab w:val="right" w:pos="9639"/>
        </w:tabs>
        <w:spacing w:before="240" w:after="240" w:line="36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02F5C61F" wp14:editId="29BE50EE">
            <wp:extent cx="5486400" cy="3200400"/>
            <wp:effectExtent l="0" t="0" r="0" b="0"/>
            <wp:docPr id="31" name="Γράφημα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464E275" w14:textId="77777777" w:rsidR="00EF0ACF" w:rsidRPr="00EA20E3" w:rsidRDefault="002908A2" w:rsidP="0039113F">
      <w:pPr>
        <w:tabs>
          <w:tab w:val="right" w:pos="9639"/>
        </w:tabs>
        <w:spacing w:before="240" w:after="240" w:line="360" w:lineRule="auto"/>
        <w:rPr>
          <w:sz w:val="24"/>
          <w:szCs w:val="24"/>
        </w:rPr>
      </w:pPr>
      <w:r w:rsidRPr="00EA20E3">
        <w:rPr>
          <w:sz w:val="24"/>
          <w:szCs w:val="24"/>
        </w:rPr>
        <w:t>Στην Αττική</w:t>
      </w:r>
      <w:r w:rsidR="004A6952">
        <w:rPr>
          <w:sz w:val="24"/>
          <w:szCs w:val="24"/>
        </w:rPr>
        <w:t>,</w:t>
      </w:r>
      <w:r w:rsidRPr="00EA20E3">
        <w:rPr>
          <w:sz w:val="24"/>
          <w:szCs w:val="24"/>
        </w:rPr>
        <w:t xml:space="preserve"> προτιμήθηκαν σε ποσοστό 69% οι κατοικίες εμβαδού έως 110τ.μ. ενώ </w:t>
      </w:r>
      <w:r w:rsidR="00A54653">
        <w:rPr>
          <w:sz w:val="24"/>
          <w:szCs w:val="24"/>
        </w:rPr>
        <w:t xml:space="preserve">αξιοσημείωτο ήταν το ενδιαφέρον για μεγάλες κατοικίες άνω των 170 τ.μ. καθώς το ποσοστό των αγοραστών </w:t>
      </w:r>
      <w:r w:rsidR="005E0234">
        <w:rPr>
          <w:sz w:val="24"/>
          <w:szCs w:val="24"/>
        </w:rPr>
        <w:t>άγγιξε</w:t>
      </w:r>
      <w:r w:rsidR="00A54653">
        <w:rPr>
          <w:sz w:val="24"/>
          <w:szCs w:val="24"/>
        </w:rPr>
        <w:t xml:space="preserve"> το </w:t>
      </w:r>
      <w:r w:rsidRPr="00EA20E3">
        <w:rPr>
          <w:sz w:val="24"/>
          <w:szCs w:val="24"/>
        </w:rPr>
        <w:t>14%.</w:t>
      </w:r>
      <w:r w:rsidR="00B1711A">
        <w:rPr>
          <w:sz w:val="24"/>
          <w:szCs w:val="24"/>
        </w:rPr>
        <w:t xml:space="preserve"> </w:t>
      </w:r>
      <w:r w:rsidR="00A54653">
        <w:rPr>
          <w:sz w:val="24"/>
          <w:szCs w:val="24"/>
        </w:rPr>
        <w:t>Την ίδια στιγμή,</w:t>
      </w:r>
      <w:r w:rsidR="00B1711A">
        <w:rPr>
          <w:sz w:val="24"/>
          <w:szCs w:val="24"/>
        </w:rPr>
        <w:t xml:space="preserve"> μικρές κατοικίες εμβαδού έως 50 τ.μ. επέλεξαν 15 στους 100 αγοραστές</w:t>
      </w:r>
      <w:r w:rsidR="00D07282">
        <w:rPr>
          <w:sz w:val="24"/>
          <w:szCs w:val="24"/>
        </w:rPr>
        <w:t xml:space="preserve"> και μεσαίες </w:t>
      </w:r>
      <w:r w:rsidR="00BF2F91">
        <w:rPr>
          <w:sz w:val="24"/>
          <w:szCs w:val="24"/>
        </w:rPr>
        <w:t xml:space="preserve">κατοικίες από 51 έως 70 τ.μ. </w:t>
      </w:r>
      <w:r w:rsidR="00D07282">
        <w:rPr>
          <w:sz w:val="24"/>
          <w:szCs w:val="24"/>
        </w:rPr>
        <w:t>το</w:t>
      </w:r>
      <w:r w:rsidR="00BF2F91">
        <w:rPr>
          <w:sz w:val="24"/>
          <w:szCs w:val="24"/>
        </w:rPr>
        <w:t xml:space="preserve"> 1</w:t>
      </w:r>
      <w:r w:rsidR="00D07282">
        <w:rPr>
          <w:sz w:val="24"/>
          <w:szCs w:val="24"/>
        </w:rPr>
        <w:t>8</w:t>
      </w:r>
      <w:r w:rsidR="00BF2F91">
        <w:rPr>
          <w:sz w:val="24"/>
          <w:szCs w:val="24"/>
        </w:rPr>
        <w:t>%</w:t>
      </w:r>
      <w:r w:rsidR="00D07282">
        <w:rPr>
          <w:sz w:val="24"/>
          <w:szCs w:val="24"/>
        </w:rPr>
        <w:t>. Πρωταθλήτρια κατηγορία από πλευράς συναλλαγών αναδείχθηκ</w:t>
      </w:r>
      <w:r w:rsidR="005E0234">
        <w:rPr>
          <w:sz w:val="24"/>
          <w:szCs w:val="24"/>
        </w:rPr>
        <w:t>ε εκείνη με</w:t>
      </w:r>
      <w:r w:rsidR="00D07282">
        <w:rPr>
          <w:sz w:val="24"/>
          <w:szCs w:val="24"/>
        </w:rPr>
        <w:t xml:space="preserve"> τα οικιστικά ακίνητα εμβαδού από 71 έως 90 τ.μ. σε ποσοστό 21%</w:t>
      </w:r>
      <w:r w:rsidRPr="00EA20E3">
        <w:rPr>
          <w:sz w:val="24"/>
          <w:szCs w:val="24"/>
        </w:rPr>
        <w:t xml:space="preserve"> (</w:t>
      </w:r>
      <w:r w:rsidR="005920B7">
        <w:rPr>
          <w:sz w:val="24"/>
          <w:szCs w:val="24"/>
        </w:rPr>
        <w:t>Γ</w:t>
      </w:r>
      <w:r w:rsidRPr="00EA20E3">
        <w:rPr>
          <w:sz w:val="24"/>
          <w:szCs w:val="24"/>
        </w:rPr>
        <w:t xml:space="preserve">ράφημα </w:t>
      </w:r>
      <w:r w:rsidR="00D07282">
        <w:rPr>
          <w:sz w:val="24"/>
          <w:szCs w:val="24"/>
        </w:rPr>
        <w:t>2</w:t>
      </w:r>
      <w:r w:rsidRPr="00EA20E3">
        <w:rPr>
          <w:sz w:val="24"/>
          <w:szCs w:val="24"/>
        </w:rPr>
        <w:t>).</w:t>
      </w:r>
    </w:p>
    <w:p w14:paraId="7D5054DB" w14:textId="77777777" w:rsidR="004373DF" w:rsidRPr="00EA20E3" w:rsidRDefault="00EF0ACF" w:rsidP="0039113F">
      <w:pPr>
        <w:tabs>
          <w:tab w:val="right" w:pos="9639"/>
        </w:tabs>
        <w:spacing w:before="240" w:after="240" w:line="360" w:lineRule="auto"/>
        <w:rPr>
          <w:sz w:val="24"/>
          <w:szCs w:val="24"/>
        </w:rPr>
      </w:pPr>
      <w:r w:rsidRPr="00EA20E3">
        <w:rPr>
          <w:sz w:val="24"/>
          <w:szCs w:val="24"/>
        </w:rPr>
        <w:t xml:space="preserve">Γράφημα </w:t>
      </w:r>
      <w:r w:rsidR="00D07282">
        <w:rPr>
          <w:sz w:val="24"/>
          <w:szCs w:val="24"/>
        </w:rPr>
        <w:t>2</w:t>
      </w:r>
    </w:p>
    <w:p w14:paraId="0DD448CD" w14:textId="77777777" w:rsidR="002908A2" w:rsidRDefault="00285AEA" w:rsidP="002908A2">
      <w:pPr>
        <w:tabs>
          <w:tab w:val="right" w:pos="9639"/>
        </w:tabs>
        <w:spacing w:before="240" w:after="240" w:line="36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053380C0" wp14:editId="23DEF867">
            <wp:extent cx="5486400" cy="2914650"/>
            <wp:effectExtent l="19050" t="0" r="19050" b="0"/>
            <wp:docPr id="33" name="Γράφημα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3F9A209" w14:textId="77777777" w:rsidR="00447045" w:rsidRDefault="002908A2" w:rsidP="0039113F">
      <w:pPr>
        <w:tabs>
          <w:tab w:val="right" w:pos="9639"/>
        </w:tabs>
        <w:spacing w:before="240" w:after="240" w:line="360" w:lineRule="auto"/>
        <w:rPr>
          <w:sz w:val="24"/>
          <w:szCs w:val="24"/>
        </w:rPr>
      </w:pPr>
      <w:r w:rsidRPr="00EA20E3">
        <w:rPr>
          <w:sz w:val="24"/>
          <w:szCs w:val="24"/>
        </w:rPr>
        <w:lastRenderedPageBreak/>
        <w:t>Στη Θεσσαλονίκη</w:t>
      </w:r>
      <w:r w:rsidR="004A6952">
        <w:rPr>
          <w:sz w:val="24"/>
          <w:szCs w:val="24"/>
        </w:rPr>
        <w:t>,</w:t>
      </w:r>
      <w:r w:rsidRPr="00EA20E3">
        <w:rPr>
          <w:sz w:val="24"/>
          <w:szCs w:val="24"/>
        </w:rPr>
        <w:t xml:space="preserve"> </w:t>
      </w:r>
      <w:r w:rsidR="00A54D89">
        <w:rPr>
          <w:sz w:val="24"/>
          <w:szCs w:val="24"/>
        </w:rPr>
        <w:t xml:space="preserve">το </w:t>
      </w:r>
      <w:r w:rsidRPr="00EA20E3">
        <w:rPr>
          <w:sz w:val="24"/>
          <w:szCs w:val="24"/>
        </w:rPr>
        <w:t>μεγαλύτερ</w:t>
      </w:r>
      <w:r w:rsidR="00A54D89">
        <w:rPr>
          <w:sz w:val="24"/>
          <w:szCs w:val="24"/>
        </w:rPr>
        <w:t>ο ενδιαφέρον εντοπίζεται για διαμερίσματα εμβαδού από 71 έως 90 τ.μ. σε ποσοστό 3</w:t>
      </w:r>
      <w:r w:rsidR="00B576F0">
        <w:rPr>
          <w:sz w:val="24"/>
          <w:szCs w:val="24"/>
        </w:rPr>
        <w:t>4</w:t>
      </w:r>
      <w:r w:rsidR="00A54D89">
        <w:rPr>
          <w:sz w:val="24"/>
          <w:szCs w:val="24"/>
        </w:rPr>
        <w:t>%</w:t>
      </w:r>
      <w:r w:rsidRPr="00EA20E3">
        <w:rPr>
          <w:sz w:val="24"/>
          <w:szCs w:val="24"/>
        </w:rPr>
        <w:t xml:space="preserve"> </w:t>
      </w:r>
      <w:r w:rsidR="00A54D89">
        <w:rPr>
          <w:sz w:val="24"/>
          <w:szCs w:val="24"/>
        </w:rPr>
        <w:t xml:space="preserve">ενώ ακολουθούν τα μικρά διαμερίσματα επιφάνειας έως 50 τ.μ. σε ποσοστό 21%. Αξιοσημείωτο είναι το ποσοστό αγοραπωλησιών για ακίνητα επιφάνειας από 51 έως 70 τ.μ. σε ποσοστό 17%. </w:t>
      </w:r>
      <w:r w:rsidR="00BF2F91">
        <w:rPr>
          <w:sz w:val="24"/>
          <w:szCs w:val="24"/>
        </w:rPr>
        <w:t>Αθροιστικά ακίνητα εμβαδού από 111 τ.μ. και άνω κάλυψαν το αγοραστικό ενδιαφέρον σε ποσοστό 15% επί του συνόλου, τη στιγμή που μόνο η κατηγορία από 91 έως 110 τ.μ. «κέρδισε» το 13% των αγοραστών.</w:t>
      </w:r>
      <w:r w:rsidR="005920B7">
        <w:rPr>
          <w:sz w:val="24"/>
          <w:szCs w:val="24"/>
        </w:rPr>
        <w:t xml:space="preserve"> (Γράφημα 3)</w:t>
      </w:r>
    </w:p>
    <w:p w14:paraId="3ACA0AA3" w14:textId="77777777" w:rsidR="0089713F" w:rsidRPr="00EA20E3" w:rsidRDefault="009B69EB" w:rsidP="0039113F">
      <w:pPr>
        <w:tabs>
          <w:tab w:val="right" w:pos="9639"/>
        </w:tabs>
        <w:spacing w:before="240" w:after="240" w:line="360" w:lineRule="auto"/>
        <w:rPr>
          <w:sz w:val="24"/>
          <w:szCs w:val="24"/>
        </w:rPr>
      </w:pPr>
      <w:r w:rsidRPr="00EA20E3">
        <w:rPr>
          <w:sz w:val="24"/>
          <w:szCs w:val="24"/>
        </w:rPr>
        <w:t xml:space="preserve">Γράφημα </w:t>
      </w:r>
      <w:r w:rsidR="00D07282">
        <w:rPr>
          <w:sz w:val="24"/>
          <w:szCs w:val="24"/>
        </w:rPr>
        <w:t>3</w:t>
      </w:r>
    </w:p>
    <w:p w14:paraId="7406E11C" w14:textId="77777777" w:rsidR="00447045" w:rsidRPr="000A3222" w:rsidRDefault="00285AEA" w:rsidP="002908A2">
      <w:pPr>
        <w:tabs>
          <w:tab w:val="right" w:pos="9639"/>
        </w:tabs>
        <w:spacing w:before="240" w:after="240" w:line="36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3BEC592A" wp14:editId="7525809D">
            <wp:extent cx="5486400" cy="3133725"/>
            <wp:effectExtent l="19050" t="0" r="19050" b="0"/>
            <wp:docPr id="34" name="Γράφημα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6F6DD77" w14:textId="77777777" w:rsidR="005920B7" w:rsidRPr="0086619A" w:rsidRDefault="002908A2" w:rsidP="0039113F">
      <w:pPr>
        <w:tabs>
          <w:tab w:val="right" w:pos="9639"/>
        </w:tabs>
        <w:spacing w:before="240" w:after="240" w:line="360" w:lineRule="auto"/>
        <w:rPr>
          <w:sz w:val="24"/>
          <w:szCs w:val="24"/>
        </w:rPr>
      </w:pPr>
      <w:r w:rsidRPr="00EA20E3">
        <w:rPr>
          <w:sz w:val="24"/>
          <w:szCs w:val="24"/>
        </w:rPr>
        <w:t>Στην υπόλοιπη Ελλάδα (εκτός Αττικής και Θεσσαλονίκης)</w:t>
      </w:r>
      <w:r w:rsidR="004A6952">
        <w:rPr>
          <w:sz w:val="24"/>
          <w:szCs w:val="24"/>
        </w:rPr>
        <w:t>,</w:t>
      </w:r>
      <w:r w:rsidRPr="00EA20E3">
        <w:rPr>
          <w:sz w:val="24"/>
          <w:szCs w:val="24"/>
        </w:rPr>
        <w:t xml:space="preserve"> </w:t>
      </w:r>
      <w:r w:rsidR="004A6952">
        <w:rPr>
          <w:sz w:val="24"/>
          <w:szCs w:val="24"/>
        </w:rPr>
        <w:t>κυριαρχούν</w:t>
      </w:r>
      <w:r w:rsidRPr="00EA20E3">
        <w:rPr>
          <w:sz w:val="24"/>
          <w:szCs w:val="24"/>
        </w:rPr>
        <w:t xml:space="preserve"> στην προτίμηση των αγοραστών</w:t>
      </w:r>
      <w:r w:rsidR="004A6952">
        <w:rPr>
          <w:sz w:val="24"/>
          <w:szCs w:val="24"/>
        </w:rPr>
        <w:t xml:space="preserve"> </w:t>
      </w:r>
      <w:r w:rsidR="00D07282">
        <w:rPr>
          <w:sz w:val="24"/>
          <w:szCs w:val="24"/>
        </w:rPr>
        <w:t xml:space="preserve">σε ποσοστό </w:t>
      </w:r>
      <w:r w:rsidRPr="00EA20E3">
        <w:rPr>
          <w:sz w:val="24"/>
          <w:szCs w:val="24"/>
        </w:rPr>
        <w:t>56% κατοικίες εμβαδού έως 90 τ.μ</w:t>
      </w:r>
      <w:r w:rsidR="00D07282">
        <w:rPr>
          <w:sz w:val="24"/>
          <w:szCs w:val="24"/>
        </w:rPr>
        <w:t>,</w:t>
      </w:r>
      <w:r w:rsidRPr="00EA20E3">
        <w:rPr>
          <w:sz w:val="24"/>
          <w:szCs w:val="24"/>
        </w:rPr>
        <w:t xml:space="preserve"> ενώ σημαντικό είναι το ενδιαφέρον για ακίνητα 171 τ.μ. και άνω </w:t>
      </w:r>
      <w:r w:rsidR="00D07282">
        <w:rPr>
          <w:sz w:val="24"/>
          <w:szCs w:val="24"/>
        </w:rPr>
        <w:t xml:space="preserve">σε ποσοστό </w:t>
      </w:r>
      <w:r w:rsidRPr="00EA20E3">
        <w:rPr>
          <w:sz w:val="24"/>
          <w:szCs w:val="24"/>
        </w:rPr>
        <w:t>21%</w:t>
      </w:r>
      <w:r w:rsidR="00D07282">
        <w:rPr>
          <w:sz w:val="24"/>
          <w:szCs w:val="24"/>
        </w:rPr>
        <w:t>. Αξίζει να επισημανθεί ότι</w:t>
      </w:r>
      <w:r w:rsidRPr="00EA20E3">
        <w:rPr>
          <w:sz w:val="24"/>
          <w:szCs w:val="24"/>
        </w:rPr>
        <w:t xml:space="preserve"> </w:t>
      </w:r>
      <w:r w:rsidR="00D07282">
        <w:rPr>
          <w:sz w:val="24"/>
          <w:szCs w:val="24"/>
        </w:rPr>
        <w:t>τ</w:t>
      </w:r>
      <w:r w:rsidRPr="00EA20E3">
        <w:rPr>
          <w:sz w:val="24"/>
          <w:szCs w:val="24"/>
        </w:rPr>
        <w:t>ην περίοδο πριν</w:t>
      </w:r>
      <w:r w:rsidR="00D07282">
        <w:rPr>
          <w:sz w:val="24"/>
          <w:szCs w:val="24"/>
        </w:rPr>
        <w:t xml:space="preserve"> ξεσπάσει η πανδημία του κορωνοϊού </w:t>
      </w:r>
      <w:r w:rsidRPr="00EA20E3">
        <w:rPr>
          <w:sz w:val="24"/>
          <w:szCs w:val="24"/>
        </w:rPr>
        <w:t xml:space="preserve">το ποσοστό για την κατηγορία αυτή στις περιοχές της χώρας </w:t>
      </w:r>
      <w:r w:rsidR="005920B7">
        <w:rPr>
          <w:sz w:val="24"/>
          <w:szCs w:val="24"/>
        </w:rPr>
        <w:t xml:space="preserve">εκτός Αθήνας και Θεσσαλονίκης </w:t>
      </w:r>
      <w:r w:rsidRPr="00EA20E3">
        <w:rPr>
          <w:sz w:val="24"/>
          <w:szCs w:val="24"/>
        </w:rPr>
        <w:t xml:space="preserve">ήταν </w:t>
      </w:r>
      <w:r w:rsidR="005920B7">
        <w:rPr>
          <w:sz w:val="24"/>
          <w:szCs w:val="24"/>
        </w:rPr>
        <w:t xml:space="preserve">μόλις στο </w:t>
      </w:r>
      <w:r w:rsidRPr="00EA20E3">
        <w:rPr>
          <w:sz w:val="24"/>
          <w:szCs w:val="24"/>
        </w:rPr>
        <w:t>3% (</w:t>
      </w:r>
      <w:r w:rsidR="005920B7">
        <w:rPr>
          <w:sz w:val="24"/>
          <w:szCs w:val="24"/>
        </w:rPr>
        <w:t>Γ</w:t>
      </w:r>
      <w:r w:rsidRPr="00EA20E3">
        <w:rPr>
          <w:sz w:val="24"/>
          <w:szCs w:val="24"/>
        </w:rPr>
        <w:t xml:space="preserve">ράφημα </w:t>
      </w:r>
      <w:r w:rsidR="005920B7">
        <w:rPr>
          <w:sz w:val="24"/>
          <w:szCs w:val="24"/>
        </w:rPr>
        <w:t>4</w:t>
      </w:r>
      <w:r w:rsidRPr="00EA20E3">
        <w:rPr>
          <w:sz w:val="24"/>
          <w:szCs w:val="24"/>
        </w:rPr>
        <w:t>).</w:t>
      </w:r>
    </w:p>
    <w:p w14:paraId="079B0676" w14:textId="77777777" w:rsidR="000A3222" w:rsidRPr="0086619A" w:rsidRDefault="000A3222" w:rsidP="0039113F">
      <w:pPr>
        <w:tabs>
          <w:tab w:val="right" w:pos="9639"/>
        </w:tabs>
        <w:spacing w:before="240" w:after="240" w:line="360" w:lineRule="auto"/>
        <w:rPr>
          <w:sz w:val="24"/>
          <w:szCs w:val="24"/>
        </w:rPr>
      </w:pPr>
    </w:p>
    <w:p w14:paraId="61538361" w14:textId="77777777" w:rsidR="000A3222" w:rsidRPr="0086619A" w:rsidRDefault="000A3222" w:rsidP="0039113F">
      <w:pPr>
        <w:tabs>
          <w:tab w:val="right" w:pos="9639"/>
        </w:tabs>
        <w:spacing w:before="240" w:after="240" w:line="360" w:lineRule="auto"/>
        <w:rPr>
          <w:sz w:val="24"/>
          <w:szCs w:val="24"/>
        </w:rPr>
      </w:pPr>
    </w:p>
    <w:p w14:paraId="5BE40803" w14:textId="77777777" w:rsidR="000A3222" w:rsidRPr="0086619A" w:rsidRDefault="000A3222" w:rsidP="0039113F">
      <w:pPr>
        <w:tabs>
          <w:tab w:val="right" w:pos="9639"/>
        </w:tabs>
        <w:spacing w:before="240" w:after="240" w:line="360" w:lineRule="auto"/>
        <w:rPr>
          <w:sz w:val="24"/>
          <w:szCs w:val="24"/>
        </w:rPr>
      </w:pPr>
    </w:p>
    <w:p w14:paraId="56144AE2" w14:textId="77777777" w:rsidR="000A3222" w:rsidRPr="0086619A" w:rsidRDefault="000A3222" w:rsidP="0039113F">
      <w:pPr>
        <w:tabs>
          <w:tab w:val="right" w:pos="9639"/>
        </w:tabs>
        <w:spacing w:before="240" w:after="240" w:line="360" w:lineRule="auto"/>
        <w:rPr>
          <w:sz w:val="24"/>
          <w:szCs w:val="24"/>
        </w:rPr>
      </w:pPr>
    </w:p>
    <w:p w14:paraId="63899A3D" w14:textId="77777777" w:rsidR="0039102A" w:rsidRPr="00EA20E3" w:rsidRDefault="00054EC7" w:rsidP="0039113F">
      <w:pPr>
        <w:tabs>
          <w:tab w:val="right" w:pos="9639"/>
        </w:tabs>
        <w:spacing w:before="240" w:after="240" w:line="360" w:lineRule="auto"/>
        <w:rPr>
          <w:sz w:val="24"/>
          <w:szCs w:val="24"/>
        </w:rPr>
      </w:pPr>
      <w:r w:rsidRPr="00EA20E3">
        <w:rPr>
          <w:sz w:val="24"/>
          <w:szCs w:val="24"/>
        </w:rPr>
        <w:lastRenderedPageBreak/>
        <w:t xml:space="preserve">Γράφημα </w:t>
      </w:r>
      <w:r w:rsidR="005920B7">
        <w:rPr>
          <w:sz w:val="24"/>
          <w:szCs w:val="24"/>
        </w:rPr>
        <w:t>4</w:t>
      </w:r>
    </w:p>
    <w:p w14:paraId="30EF03B5" w14:textId="77777777" w:rsidR="006400D1" w:rsidRDefault="00FB7D01" w:rsidP="0039113F">
      <w:pPr>
        <w:tabs>
          <w:tab w:val="right" w:pos="9639"/>
        </w:tabs>
        <w:spacing w:before="240" w:after="240" w:line="36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3AC3F781" wp14:editId="0AFADC12">
            <wp:extent cx="5486400" cy="3200400"/>
            <wp:effectExtent l="0" t="0" r="0" b="0"/>
            <wp:docPr id="35" name="Γράφημα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C6DFFA8" w14:textId="77777777" w:rsidR="00801BF0" w:rsidRPr="00EA20E3" w:rsidRDefault="00801BF0" w:rsidP="0039113F">
      <w:pPr>
        <w:tabs>
          <w:tab w:val="right" w:pos="9639"/>
        </w:tabs>
        <w:spacing w:before="240" w:after="240" w:line="360" w:lineRule="auto"/>
        <w:rPr>
          <w:sz w:val="24"/>
          <w:szCs w:val="24"/>
        </w:rPr>
      </w:pPr>
    </w:p>
    <w:sectPr w:rsidR="00801BF0" w:rsidRPr="00EA20E3" w:rsidSect="000B286B">
      <w:headerReference w:type="default" r:id="rId11"/>
      <w:footerReference w:type="default" r:id="rId12"/>
      <w:pgSz w:w="11900" w:h="16840"/>
      <w:pgMar w:top="1440" w:right="1127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F5517" w14:textId="77777777" w:rsidR="00632F57" w:rsidRDefault="00632F57" w:rsidP="003072C9">
      <w:pPr>
        <w:spacing w:after="0" w:line="240" w:lineRule="auto"/>
      </w:pPr>
      <w:r>
        <w:separator/>
      </w:r>
    </w:p>
  </w:endnote>
  <w:endnote w:type="continuationSeparator" w:id="0">
    <w:p w14:paraId="676CA8C7" w14:textId="77777777" w:rsidR="00632F57" w:rsidRDefault="00632F57" w:rsidP="0030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7112" w14:textId="77777777" w:rsidR="004A12A6" w:rsidRDefault="004A12A6">
    <w:pPr>
      <w:pStyle w:val="a5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069EF63" wp14:editId="6B116B6D">
          <wp:simplePos x="0" y="0"/>
          <wp:positionH relativeFrom="column">
            <wp:posOffset>-333375</wp:posOffset>
          </wp:positionH>
          <wp:positionV relativeFrom="page">
            <wp:posOffset>10292715</wp:posOffset>
          </wp:positionV>
          <wp:extent cx="971550" cy="177800"/>
          <wp:effectExtent l="19050" t="0" r="0" b="0"/>
          <wp:wrapSquare wrapText="bothSides"/>
          <wp:docPr id="2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7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E764E" w14:textId="77777777" w:rsidR="00632F57" w:rsidRDefault="00632F57" w:rsidP="003072C9">
      <w:pPr>
        <w:spacing w:after="0" w:line="240" w:lineRule="auto"/>
      </w:pPr>
      <w:r>
        <w:separator/>
      </w:r>
    </w:p>
  </w:footnote>
  <w:footnote w:type="continuationSeparator" w:id="0">
    <w:p w14:paraId="054A7F82" w14:textId="77777777" w:rsidR="00632F57" w:rsidRDefault="00632F57" w:rsidP="0030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B2DB" w14:textId="77777777" w:rsidR="004A12A6" w:rsidRDefault="004A12A6">
    <w:pPr>
      <w:pStyle w:val="a4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68AC9267" wp14:editId="3F796D7B">
          <wp:simplePos x="0" y="0"/>
          <wp:positionH relativeFrom="column">
            <wp:posOffset>5611495</wp:posOffset>
          </wp:positionH>
          <wp:positionV relativeFrom="paragraph">
            <wp:posOffset>-333375</wp:posOffset>
          </wp:positionV>
          <wp:extent cx="577850" cy="716280"/>
          <wp:effectExtent l="1905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3F"/>
    <w:rsid w:val="00000FAE"/>
    <w:rsid w:val="00013D44"/>
    <w:rsid w:val="00021DF0"/>
    <w:rsid w:val="00022F44"/>
    <w:rsid w:val="00027596"/>
    <w:rsid w:val="00030066"/>
    <w:rsid w:val="000427DA"/>
    <w:rsid w:val="00042E4B"/>
    <w:rsid w:val="00044F17"/>
    <w:rsid w:val="00054EC7"/>
    <w:rsid w:val="00066B12"/>
    <w:rsid w:val="000714F4"/>
    <w:rsid w:val="000A3222"/>
    <w:rsid w:val="000A5687"/>
    <w:rsid w:val="000B0E32"/>
    <w:rsid w:val="000B1833"/>
    <w:rsid w:val="000B286B"/>
    <w:rsid w:val="000C55F8"/>
    <w:rsid w:val="000C7795"/>
    <w:rsid w:val="000E15AF"/>
    <w:rsid w:val="000F4A1C"/>
    <w:rsid w:val="000F716D"/>
    <w:rsid w:val="000F7D40"/>
    <w:rsid w:val="00115FD6"/>
    <w:rsid w:val="00122771"/>
    <w:rsid w:val="00123B1D"/>
    <w:rsid w:val="001343FE"/>
    <w:rsid w:val="00137565"/>
    <w:rsid w:val="001460AE"/>
    <w:rsid w:val="00163C61"/>
    <w:rsid w:val="001705A7"/>
    <w:rsid w:val="00173EBF"/>
    <w:rsid w:val="00176638"/>
    <w:rsid w:val="00193E81"/>
    <w:rsid w:val="001949AC"/>
    <w:rsid w:val="001A7C16"/>
    <w:rsid w:val="001B355D"/>
    <w:rsid w:val="001C488A"/>
    <w:rsid w:val="001C5026"/>
    <w:rsid w:val="001C7C4B"/>
    <w:rsid w:val="001C7D9C"/>
    <w:rsid w:val="001E0215"/>
    <w:rsid w:val="001E4D8C"/>
    <w:rsid w:val="001E775A"/>
    <w:rsid w:val="001F76C8"/>
    <w:rsid w:val="0020780A"/>
    <w:rsid w:val="002141FF"/>
    <w:rsid w:val="00215656"/>
    <w:rsid w:val="00216F30"/>
    <w:rsid w:val="002267CD"/>
    <w:rsid w:val="002319A5"/>
    <w:rsid w:val="002326A3"/>
    <w:rsid w:val="00233650"/>
    <w:rsid w:val="00235794"/>
    <w:rsid w:val="00243BB5"/>
    <w:rsid w:val="002533A3"/>
    <w:rsid w:val="00256A13"/>
    <w:rsid w:val="00263123"/>
    <w:rsid w:val="00266047"/>
    <w:rsid w:val="00273AD6"/>
    <w:rsid w:val="002760A1"/>
    <w:rsid w:val="00281268"/>
    <w:rsid w:val="00285AEA"/>
    <w:rsid w:val="002908A2"/>
    <w:rsid w:val="00290C3B"/>
    <w:rsid w:val="00291797"/>
    <w:rsid w:val="0029382F"/>
    <w:rsid w:val="002A7C04"/>
    <w:rsid w:val="002B4071"/>
    <w:rsid w:val="002D026E"/>
    <w:rsid w:val="002D732E"/>
    <w:rsid w:val="002E3172"/>
    <w:rsid w:val="002E36AD"/>
    <w:rsid w:val="002E74AB"/>
    <w:rsid w:val="002F38D2"/>
    <w:rsid w:val="00305B9E"/>
    <w:rsid w:val="003072C9"/>
    <w:rsid w:val="00307FDF"/>
    <w:rsid w:val="00314F74"/>
    <w:rsid w:val="00331626"/>
    <w:rsid w:val="003325E2"/>
    <w:rsid w:val="00334B4F"/>
    <w:rsid w:val="00335F25"/>
    <w:rsid w:val="003615CE"/>
    <w:rsid w:val="00376EB7"/>
    <w:rsid w:val="003857BA"/>
    <w:rsid w:val="0039102A"/>
    <w:rsid w:val="0039113F"/>
    <w:rsid w:val="00392AEB"/>
    <w:rsid w:val="003A07B5"/>
    <w:rsid w:val="003A6376"/>
    <w:rsid w:val="003A709C"/>
    <w:rsid w:val="003A73A7"/>
    <w:rsid w:val="003B2103"/>
    <w:rsid w:val="003C4237"/>
    <w:rsid w:val="003D3509"/>
    <w:rsid w:val="003D49EB"/>
    <w:rsid w:val="003E4F30"/>
    <w:rsid w:val="003E6708"/>
    <w:rsid w:val="0040668A"/>
    <w:rsid w:val="00407739"/>
    <w:rsid w:val="00423047"/>
    <w:rsid w:val="004264CF"/>
    <w:rsid w:val="00427EF1"/>
    <w:rsid w:val="004373DF"/>
    <w:rsid w:val="00444173"/>
    <w:rsid w:val="00447045"/>
    <w:rsid w:val="004504A7"/>
    <w:rsid w:val="004509BA"/>
    <w:rsid w:val="00452368"/>
    <w:rsid w:val="00460781"/>
    <w:rsid w:val="004736DC"/>
    <w:rsid w:val="0048105C"/>
    <w:rsid w:val="00483F9A"/>
    <w:rsid w:val="004844B5"/>
    <w:rsid w:val="004A12A6"/>
    <w:rsid w:val="004A6952"/>
    <w:rsid w:val="004A73E4"/>
    <w:rsid w:val="004C0A8E"/>
    <w:rsid w:val="004C22BC"/>
    <w:rsid w:val="004C48C5"/>
    <w:rsid w:val="004D3A0E"/>
    <w:rsid w:val="004D66EE"/>
    <w:rsid w:val="004D7B51"/>
    <w:rsid w:val="00512238"/>
    <w:rsid w:val="00514C44"/>
    <w:rsid w:val="005259A5"/>
    <w:rsid w:val="00525A09"/>
    <w:rsid w:val="00526BF0"/>
    <w:rsid w:val="00526CD5"/>
    <w:rsid w:val="00527617"/>
    <w:rsid w:val="005316F3"/>
    <w:rsid w:val="00537008"/>
    <w:rsid w:val="005425C1"/>
    <w:rsid w:val="00543C01"/>
    <w:rsid w:val="00544EB8"/>
    <w:rsid w:val="00547441"/>
    <w:rsid w:val="00555A2D"/>
    <w:rsid w:val="005670C2"/>
    <w:rsid w:val="00571592"/>
    <w:rsid w:val="005742EE"/>
    <w:rsid w:val="005920B7"/>
    <w:rsid w:val="00595427"/>
    <w:rsid w:val="005C11A0"/>
    <w:rsid w:val="005E0234"/>
    <w:rsid w:val="005E1967"/>
    <w:rsid w:val="005F4BB5"/>
    <w:rsid w:val="00602B22"/>
    <w:rsid w:val="006138C0"/>
    <w:rsid w:val="00616D43"/>
    <w:rsid w:val="00632F57"/>
    <w:rsid w:val="00636F80"/>
    <w:rsid w:val="006400D1"/>
    <w:rsid w:val="00642692"/>
    <w:rsid w:val="00642D05"/>
    <w:rsid w:val="006443AB"/>
    <w:rsid w:val="00647482"/>
    <w:rsid w:val="00671ADA"/>
    <w:rsid w:val="00677898"/>
    <w:rsid w:val="006824A7"/>
    <w:rsid w:val="00682ACC"/>
    <w:rsid w:val="006933B3"/>
    <w:rsid w:val="00697D2D"/>
    <w:rsid w:val="006A1423"/>
    <w:rsid w:val="006A4A83"/>
    <w:rsid w:val="006B124F"/>
    <w:rsid w:val="006B3F45"/>
    <w:rsid w:val="006B7547"/>
    <w:rsid w:val="006C0D81"/>
    <w:rsid w:val="006C191D"/>
    <w:rsid w:val="006C338B"/>
    <w:rsid w:val="006C590D"/>
    <w:rsid w:val="006C5BAE"/>
    <w:rsid w:val="006D6AB7"/>
    <w:rsid w:val="006E532C"/>
    <w:rsid w:val="006E641A"/>
    <w:rsid w:val="006F1DF5"/>
    <w:rsid w:val="006F310C"/>
    <w:rsid w:val="006F39C7"/>
    <w:rsid w:val="00711C16"/>
    <w:rsid w:val="00713C98"/>
    <w:rsid w:val="00715694"/>
    <w:rsid w:val="00735E7A"/>
    <w:rsid w:val="00736142"/>
    <w:rsid w:val="00741661"/>
    <w:rsid w:val="00742AF4"/>
    <w:rsid w:val="007559D7"/>
    <w:rsid w:val="007572AC"/>
    <w:rsid w:val="00757D4D"/>
    <w:rsid w:val="00761306"/>
    <w:rsid w:val="00763849"/>
    <w:rsid w:val="0077549A"/>
    <w:rsid w:val="00781398"/>
    <w:rsid w:val="00792770"/>
    <w:rsid w:val="0079682F"/>
    <w:rsid w:val="007A142E"/>
    <w:rsid w:val="007B7574"/>
    <w:rsid w:val="007C0107"/>
    <w:rsid w:val="007C3F59"/>
    <w:rsid w:val="007D2F8E"/>
    <w:rsid w:val="007E2F91"/>
    <w:rsid w:val="007F0090"/>
    <w:rsid w:val="007F2770"/>
    <w:rsid w:val="007F3810"/>
    <w:rsid w:val="00801BF0"/>
    <w:rsid w:val="00813839"/>
    <w:rsid w:val="00816551"/>
    <w:rsid w:val="008171B0"/>
    <w:rsid w:val="008202AE"/>
    <w:rsid w:val="00821927"/>
    <w:rsid w:val="00825233"/>
    <w:rsid w:val="00826E40"/>
    <w:rsid w:val="00831029"/>
    <w:rsid w:val="00836A3F"/>
    <w:rsid w:val="008537E4"/>
    <w:rsid w:val="00860BA5"/>
    <w:rsid w:val="00862695"/>
    <w:rsid w:val="0086619A"/>
    <w:rsid w:val="00873B6A"/>
    <w:rsid w:val="00875576"/>
    <w:rsid w:val="008778BB"/>
    <w:rsid w:val="008922EC"/>
    <w:rsid w:val="0089713F"/>
    <w:rsid w:val="00897C21"/>
    <w:rsid w:val="008B2248"/>
    <w:rsid w:val="008C0756"/>
    <w:rsid w:val="008C4F65"/>
    <w:rsid w:val="008D3196"/>
    <w:rsid w:val="008D557A"/>
    <w:rsid w:val="008E61A1"/>
    <w:rsid w:val="008E7405"/>
    <w:rsid w:val="009102B8"/>
    <w:rsid w:val="00912B6A"/>
    <w:rsid w:val="00915CA7"/>
    <w:rsid w:val="009208C1"/>
    <w:rsid w:val="00926965"/>
    <w:rsid w:val="00930653"/>
    <w:rsid w:val="00936CBD"/>
    <w:rsid w:val="009376CA"/>
    <w:rsid w:val="00937A31"/>
    <w:rsid w:val="00942A74"/>
    <w:rsid w:val="00950555"/>
    <w:rsid w:val="00953FCC"/>
    <w:rsid w:val="00954191"/>
    <w:rsid w:val="00960375"/>
    <w:rsid w:val="00962DCB"/>
    <w:rsid w:val="00985C11"/>
    <w:rsid w:val="0098603A"/>
    <w:rsid w:val="00986073"/>
    <w:rsid w:val="009A2311"/>
    <w:rsid w:val="009A619B"/>
    <w:rsid w:val="009A7479"/>
    <w:rsid w:val="009B6539"/>
    <w:rsid w:val="009B69EB"/>
    <w:rsid w:val="009C03CC"/>
    <w:rsid w:val="009C2444"/>
    <w:rsid w:val="009C3A63"/>
    <w:rsid w:val="009C7C3B"/>
    <w:rsid w:val="009F2A43"/>
    <w:rsid w:val="009F5348"/>
    <w:rsid w:val="009F7AC1"/>
    <w:rsid w:val="00A0455C"/>
    <w:rsid w:val="00A04795"/>
    <w:rsid w:val="00A11424"/>
    <w:rsid w:val="00A1454C"/>
    <w:rsid w:val="00A160AA"/>
    <w:rsid w:val="00A20923"/>
    <w:rsid w:val="00A2133E"/>
    <w:rsid w:val="00A221AE"/>
    <w:rsid w:val="00A221E3"/>
    <w:rsid w:val="00A224A5"/>
    <w:rsid w:val="00A24233"/>
    <w:rsid w:val="00A24AED"/>
    <w:rsid w:val="00A37A9D"/>
    <w:rsid w:val="00A41B9E"/>
    <w:rsid w:val="00A43F43"/>
    <w:rsid w:val="00A54653"/>
    <w:rsid w:val="00A54D89"/>
    <w:rsid w:val="00A66129"/>
    <w:rsid w:val="00A721AB"/>
    <w:rsid w:val="00A74A54"/>
    <w:rsid w:val="00A8099F"/>
    <w:rsid w:val="00A8343A"/>
    <w:rsid w:val="00A83F3E"/>
    <w:rsid w:val="00A97981"/>
    <w:rsid w:val="00AA0140"/>
    <w:rsid w:val="00AB3D8D"/>
    <w:rsid w:val="00AB4DC8"/>
    <w:rsid w:val="00AC4256"/>
    <w:rsid w:val="00AE22DC"/>
    <w:rsid w:val="00AE358D"/>
    <w:rsid w:val="00AF3824"/>
    <w:rsid w:val="00AF4E7B"/>
    <w:rsid w:val="00AF5A25"/>
    <w:rsid w:val="00B137AB"/>
    <w:rsid w:val="00B14802"/>
    <w:rsid w:val="00B1711A"/>
    <w:rsid w:val="00B24ACD"/>
    <w:rsid w:val="00B2544F"/>
    <w:rsid w:val="00B25600"/>
    <w:rsid w:val="00B27F03"/>
    <w:rsid w:val="00B3644D"/>
    <w:rsid w:val="00B41809"/>
    <w:rsid w:val="00B42D2B"/>
    <w:rsid w:val="00B4559D"/>
    <w:rsid w:val="00B576F0"/>
    <w:rsid w:val="00B704AA"/>
    <w:rsid w:val="00B77898"/>
    <w:rsid w:val="00B84AAB"/>
    <w:rsid w:val="00B974E7"/>
    <w:rsid w:val="00BA11F0"/>
    <w:rsid w:val="00BA26A2"/>
    <w:rsid w:val="00BA319E"/>
    <w:rsid w:val="00BA426F"/>
    <w:rsid w:val="00BB077B"/>
    <w:rsid w:val="00BB170D"/>
    <w:rsid w:val="00BB2FAF"/>
    <w:rsid w:val="00BB3955"/>
    <w:rsid w:val="00BB4095"/>
    <w:rsid w:val="00BB57FB"/>
    <w:rsid w:val="00BC7D1E"/>
    <w:rsid w:val="00BD3337"/>
    <w:rsid w:val="00BD60BD"/>
    <w:rsid w:val="00BD7C23"/>
    <w:rsid w:val="00BE4E61"/>
    <w:rsid w:val="00BF17A2"/>
    <w:rsid w:val="00BF1B4E"/>
    <w:rsid w:val="00BF26F3"/>
    <w:rsid w:val="00BF2F91"/>
    <w:rsid w:val="00BF5548"/>
    <w:rsid w:val="00C01B47"/>
    <w:rsid w:val="00C06338"/>
    <w:rsid w:val="00C2550D"/>
    <w:rsid w:val="00C34249"/>
    <w:rsid w:val="00C3433B"/>
    <w:rsid w:val="00C3587A"/>
    <w:rsid w:val="00C40C52"/>
    <w:rsid w:val="00C4682D"/>
    <w:rsid w:val="00C510BE"/>
    <w:rsid w:val="00C564AF"/>
    <w:rsid w:val="00C604E9"/>
    <w:rsid w:val="00C63D92"/>
    <w:rsid w:val="00C72EB1"/>
    <w:rsid w:val="00C73A0C"/>
    <w:rsid w:val="00C92328"/>
    <w:rsid w:val="00C94D1C"/>
    <w:rsid w:val="00CB2F7E"/>
    <w:rsid w:val="00CC1E85"/>
    <w:rsid w:val="00CC3C12"/>
    <w:rsid w:val="00CD30FD"/>
    <w:rsid w:val="00CE00DF"/>
    <w:rsid w:val="00CE2726"/>
    <w:rsid w:val="00CE6BA5"/>
    <w:rsid w:val="00CF2153"/>
    <w:rsid w:val="00CF68DB"/>
    <w:rsid w:val="00CF7450"/>
    <w:rsid w:val="00D07282"/>
    <w:rsid w:val="00D109BE"/>
    <w:rsid w:val="00D250C1"/>
    <w:rsid w:val="00D257CC"/>
    <w:rsid w:val="00D334DB"/>
    <w:rsid w:val="00D35292"/>
    <w:rsid w:val="00D370E7"/>
    <w:rsid w:val="00D45767"/>
    <w:rsid w:val="00D461F2"/>
    <w:rsid w:val="00D53445"/>
    <w:rsid w:val="00D53F93"/>
    <w:rsid w:val="00D7018E"/>
    <w:rsid w:val="00D73AFD"/>
    <w:rsid w:val="00D818AA"/>
    <w:rsid w:val="00D83BF2"/>
    <w:rsid w:val="00D8617D"/>
    <w:rsid w:val="00D93D93"/>
    <w:rsid w:val="00DA36E0"/>
    <w:rsid w:val="00DA558C"/>
    <w:rsid w:val="00DB2E83"/>
    <w:rsid w:val="00DB6626"/>
    <w:rsid w:val="00DB6D5A"/>
    <w:rsid w:val="00DD3E4D"/>
    <w:rsid w:val="00DD4989"/>
    <w:rsid w:val="00DD6842"/>
    <w:rsid w:val="00DD6947"/>
    <w:rsid w:val="00DE1F8E"/>
    <w:rsid w:val="00DE411C"/>
    <w:rsid w:val="00DE5501"/>
    <w:rsid w:val="00E0169F"/>
    <w:rsid w:val="00E11223"/>
    <w:rsid w:val="00E12AD5"/>
    <w:rsid w:val="00E21D07"/>
    <w:rsid w:val="00E230CC"/>
    <w:rsid w:val="00E23D8A"/>
    <w:rsid w:val="00E26AF5"/>
    <w:rsid w:val="00E30B88"/>
    <w:rsid w:val="00E32A2C"/>
    <w:rsid w:val="00E41184"/>
    <w:rsid w:val="00E47413"/>
    <w:rsid w:val="00E566E2"/>
    <w:rsid w:val="00E6032B"/>
    <w:rsid w:val="00E61B05"/>
    <w:rsid w:val="00E6634C"/>
    <w:rsid w:val="00E674B2"/>
    <w:rsid w:val="00E70925"/>
    <w:rsid w:val="00E769FD"/>
    <w:rsid w:val="00E76E84"/>
    <w:rsid w:val="00E83254"/>
    <w:rsid w:val="00E91C83"/>
    <w:rsid w:val="00EA1598"/>
    <w:rsid w:val="00EA20E3"/>
    <w:rsid w:val="00EA2371"/>
    <w:rsid w:val="00EC2CA9"/>
    <w:rsid w:val="00EC5C23"/>
    <w:rsid w:val="00EC614A"/>
    <w:rsid w:val="00ED70BD"/>
    <w:rsid w:val="00EE3ABD"/>
    <w:rsid w:val="00EE7086"/>
    <w:rsid w:val="00EE7CBE"/>
    <w:rsid w:val="00EF0ACF"/>
    <w:rsid w:val="00EF49E1"/>
    <w:rsid w:val="00EF7138"/>
    <w:rsid w:val="00F01E1E"/>
    <w:rsid w:val="00F1413E"/>
    <w:rsid w:val="00F22DFA"/>
    <w:rsid w:val="00F26BD7"/>
    <w:rsid w:val="00F37440"/>
    <w:rsid w:val="00F44C12"/>
    <w:rsid w:val="00F473F6"/>
    <w:rsid w:val="00F53C24"/>
    <w:rsid w:val="00F608EC"/>
    <w:rsid w:val="00F636C8"/>
    <w:rsid w:val="00F67717"/>
    <w:rsid w:val="00F71120"/>
    <w:rsid w:val="00F7371D"/>
    <w:rsid w:val="00F83CA6"/>
    <w:rsid w:val="00F8534C"/>
    <w:rsid w:val="00FA4307"/>
    <w:rsid w:val="00FA7766"/>
    <w:rsid w:val="00FA7CEC"/>
    <w:rsid w:val="00FB04CF"/>
    <w:rsid w:val="00FB7D01"/>
    <w:rsid w:val="00FC173D"/>
    <w:rsid w:val="00FC257F"/>
    <w:rsid w:val="00FC2CD7"/>
    <w:rsid w:val="00FD552F"/>
    <w:rsid w:val="00FE0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70CD02"/>
  <w15:docId w15:val="{636C9FE0-650A-4E25-8C38-99A27D19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13F"/>
    <w:pPr>
      <w:spacing w:after="200" w:line="276" w:lineRule="auto"/>
    </w:pPr>
    <w:rPr>
      <w:rFonts w:eastAsia="Calibri" w:cs="Arial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781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813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813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813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813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Πολύχρωμη λίστα - ΄Εμφαση 11"/>
    <w:basedOn w:val="a"/>
    <w:uiPriority w:val="34"/>
    <w:qFormat/>
    <w:rsid w:val="0039113F"/>
    <w:pPr>
      <w:ind w:left="720"/>
      <w:contextualSpacing/>
    </w:pPr>
    <w:rPr>
      <w:rFonts w:ascii="Calibri" w:hAnsi="Calibri" w:cs="Times New Roman"/>
    </w:rPr>
  </w:style>
  <w:style w:type="paragraph" w:customStyle="1" w:styleId="DocumentTitle">
    <w:name w:val="Document Title"/>
    <w:basedOn w:val="a3"/>
    <w:qFormat/>
    <w:rsid w:val="0039113F"/>
    <w:pPr>
      <w:pBdr>
        <w:bottom w:val="none" w:sz="0" w:space="0" w:color="auto"/>
      </w:pBdr>
      <w:spacing w:after="680" w:line="204" w:lineRule="auto"/>
      <w:ind w:right="1418"/>
    </w:pPr>
    <w:rPr>
      <w:rFonts w:ascii="Cambria" w:eastAsia="Times New Roman" w:hAnsi="Cambria"/>
      <w:b/>
      <w:color w:val="C0504D"/>
      <w:spacing w:val="0"/>
      <w:kern w:val="0"/>
      <w:sz w:val="88"/>
      <w:szCs w:val="74"/>
      <w:lang w:val="en-GB"/>
    </w:rPr>
  </w:style>
  <w:style w:type="character" w:styleId="-">
    <w:name w:val="Hyperlink"/>
    <w:uiPriority w:val="99"/>
    <w:unhideWhenUsed/>
    <w:rsid w:val="0039113F"/>
    <w:rPr>
      <w:color w:val="0000FF"/>
      <w:u w:val="single"/>
    </w:rPr>
  </w:style>
  <w:style w:type="paragraph" w:styleId="a3">
    <w:name w:val="Title"/>
    <w:basedOn w:val="a"/>
    <w:next w:val="a"/>
    <w:link w:val="Char"/>
    <w:uiPriority w:val="10"/>
    <w:qFormat/>
    <w:rsid w:val="0039113F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link w:val="a3"/>
    <w:uiPriority w:val="10"/>
    <w:rsid w:val="0039113F"/>
    <w:rPr>
      <w:rFonts w:ascii="Calibri" w:eastAsia="MS Gothic" w:hAnsi="Calibri" w:cs="Times New Roman"/>
      <w:color w:val="17365D"/>
      <w:spacing w:val="5"/>
      <w:kern w:val="28"/>
      <w:sz w:val="52"/>
      <w:szCs w:val="52"/>
      <w:lang w:val="el-GR"/>
    </w:rPr>
  </w:style>
  <w:style w:type="paragraph" w:styleId="a4">
    <w:name w:val="header"/>
    <w:basedOn w:val="a"/>
    <w:link w:val="Char0"/>
    <w:uiPriority w:val="99"/>
    <w:unhideWhenUsed/>
    <w:rsid w:val="003072C9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Char0">
    <w:name w:val="Κεφαλίδα Char"/>
    <w:link w:val="a4"/>
    <w:uiPriority w:val="99"/>
    <w:rsid w:val="003072C9"/>
    <w:rPr>
      <w:rFonts w:eastAsia="Calibri" w:cs="Arial"/>
      <w:sz w:val="22"/>
      <w:szCs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3072C9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Char1">
    <w:name w:val="Υποσέλιδο Char"/>
    <w:link w:val="a5"/>
    <w:uiPriority w:val="99"/>
    <w:rsid w:val="003072C9"/>
    <w:rPr>
      <w:rFonts w:eastAsia="Calibri" w:cs="Arial"/>
      <w:sz w:val="22"/>
      <w:szCs w:val="22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B4559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Char2">
    <w:name w:val="Κείμενο πλαισίου Char"/>
    <w:link w:val="a6"/>
    <w:uiPriority w:val="99"/>
    <w:semiHidden/>
    <w:rsid w:val="00B4559D"/>
    <w:rPr>
      <w:rFonts w:ascii="Segoe UI" w:eastAsia="Calibri" w:hAnsi="Segoe UI" w:cs="Segoe UI"/>
      <w:sz w:val="18"/>
      <w:szCs w:val="18"/>
      <w:lang w:eastAsia="en-US"/>
    </w:rPr>
  </w:style>
  <w:style w:type="character" w:styleId="-0">
    <w:name w:val="FollowedHyperlink"/>
    <w:basedOn w:val="a0"/>
    <w:uiPriority w:val="99"/>
    <w:semiHidden/>
    <w:unhideWhenUsed/>
    <w:rsid w:val="004509BA"/>
    <w:rPr>
      <w:color w:val="800080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78139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7813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7813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Char">
    <w:name w:val="Επικεφαλίδα 4 Char"/>
    <w:basedOn w:val="a0"/>
    <w:link w:val="4"/>
    <w:uiPriority w:val="9"/>
    <w:rsid w:val="0078139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Char">
    <w:name w:val="Επικεφαλίδα 5 Char"/>
    <w:basedOn w:val="a0"/>
    <w:link w:val="5"/>
    <w:uiPriority w:val="9"/>
    <w:rsid w:val="0078139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a7">
    <w:name w:val="Intense Quote"/>
    <w:basedOn w:val="a"/>
    <w:next w:val="a"/>
    <w:link w:val="Char3"/>
    <w:uiPriority w:val="60"/>
    <w:qFormat/>
    <w:rsid w:val="007813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3">
    <w:name w:val="Έντονο απόσπ. Char"/>
    <w:basedOn w:val="a0"/>
    <w:link w:val="a7"/>
    <w:uiPriority w:val="60"/>
    <w:rsid w:val="00781398"/>
    <w:rPr>
      <w:rFonts w:eastAsia="Calibri" w:cs="Arial"/>
      <w:i/>
      <w:iCs/>
      <w:color w:val="4F81BD" w:themeColor="accent1"/>
      <w:sz w:val="22"/>
      <w:szCs w:val="22"/>
      <w:lang w:eastAsia="en-US"/>
    </w:rPr>
  </w:style>
  <w:style w:type="paragraph" w:styleId="a8">
    <w:name w:val="footnote text"/>
    <w:basedOn w:val="a"/>
    <w:link w:val="Char4"/>
    <w:uiPriority w:val="99"/>
    <w:semiHidden/>
    <w:unhideWhenUsed/>
    <w:rsid w:val="0077549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8"/>
    <w:uiPriority w:val="99"/>
    <w:semiHidden/>
    <w:rsid w:val="0077549A"/>
    <w:rPr>
      <w:rFonts w:eastAsia="Calibri" w:cs="Arial"/>
      <w:lang w:eastAsia="en-US"/>
    </w:rPr>
  </w:style>
  <w:style w:type="character" w:styleId="a9">
    <w:name w:val="footnote reference"/>
    <w:basedOn w:val="a0"/>
    <w:uiPriority w:val="99"/>
    <w:semiHidden/>
    <w:unhideWhenUsed/>
    <w:rsid w:val="0077549A"/>
    <w:rPr>
      <w:vertAlign w:val="superscript"/>
    </w:rPr>
  </w:style>
  <w:style w:type="character" w:customStyle="1" w:styleId="10">
    <w:name w:val="Ανεπίλυτη αναφορά1"/>
    <w:basedOn w:val="a0"/>
    <w:uiPriority w:val="99"/>
    <w:semiHidden/>
    <w:unhideWhenUsed/>
    <w:rsid w:val="00775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59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 sz="1800" b="1" i="0" u="none" strike="noStrike" baseline="0">
                <a:effectLst/>
              </a:rPr>
              <a:t>Κατανομή με βάση το εμβαδόν των πωληθέντων κατοικιών </a:t>
            </a:r>
            <a:r>
              <a:rPr lang="en-US" sz="1800" b="1" i="0" u="none" strike="noStrike" baseline="0">
                <a:effectLst/>
              </a:rPr>
              <a:t>20</a:t>
            </a:r>
            <a:r>
              <a:rPr lang="el-GR" sz="1800" b="1" i="0" u="none" strike="noStrike" baseline="0">
                <a:effectLst/>
              </a:rPr>
              <a:t>20</a:t>
            </a:r>
            <a:r>
              <a:rPr lang="el-GR"/>
              <a:t> </a:t>
            </a:r>
            <a:r>
              <a:rPr lang="el-GR" baseline="0"/>
              <a:t>     </a:t>
            </a:r>
            <a:r>
              <a:rPr lang="el-GR"/>
              <a:t>Πανελλαδικά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Φύλλο1!$B$1</c:f>
              <c:strCache>
                <c:ptCount val="1"/>
                <c:pt idx="0">
                  <c:v>Σειρά 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Φύλλο1!$A$2:$A$10</c:f>
              <c:strCache>
                <c:ptCount val="8"/>
                <c:pt idx="0">
                  <c:v>1-50 τ.μ.</c:v>
                </c:pt>
                <c:pt idx="1">
                  <c:v>51-70 τ.μ.</c:v>
                </c:pt>
                <c:pt idx="2">
                  <c:v>71-90 τ.μ.</c:v>
                </c:pt>
                <c:pt idx="3">
                  <c:v>91-110 τ.μ.</c:v>
                </c:pt>
                <c:pt idx="4">
                  <c:v>111-130 τ.μ.</c:v>
                </c:pt>
                <c:pt idx="5">
                  <c:v>131-150 τ.μ.</c:v>
                </c:pt>
                <c:pt idx="6">
                  <c:v>151-170 τ.μ</c:v>
                </c:pt>
                <c:pt idx="7">
                  <c:v>171 τ.μ. και άνω</c:v>
                </c:pt>
              </c:strCache>
            </c:strRef>
          </c:cat>
          <c:val>
            <c:numRef>
              <c:f>Φύλλο1!$B$2:$B$10</c:f>
              <c:numCache>
                <c:formatCode>General</c:formatCode>
                <c:ptCount val="9"/>
                <c:pt idx="0">
                  <c:v>19</c:v>
                </c:pt>
                <c:pt idx="1">
                  <c:v>17</c:v>
                </c:pt>
                <c:pt idx="2">
                  <c:v>23</c:v>
                </c:pt>
                <c:pt idx="3">
                  <c:v>13</c:v>
                </c:pt>
                <c:pt idx="4">
                  <c:v>6</c:v>
                </c:pt>
                <c:pt idx="5">
                  <c:v>3</c:v>
                </c:pt>
                <c:pt idx="6">
                  <c:v>5</c:v>
                </c:pt>
                <c:pt idx="7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33-438A-B0E3-051BFEB695A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0149248"/>
        <c:axId val="70150784"/>
      </c:barChart>
      <c:catAx>
        <c:axId val="70149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0150784"/>
        <c:crosses val="autoZero"/>
        <c:auto val="1"/>
        <c:lblAlgn val="ctr"/>
        <c:lblOffset val="100"/>
        <c:noMultiLvlLbl val="0"/>
      </c:catAx>
      <c:valAx>
        <c:axId val="7015078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0149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 sz="1800" b="1" i="0" u="none" strike="noStrike" baseline="0">
                <a:effectLst/>
              </a:rPr>
              <a:t>Κατανομή με βάση το εμβαδόν των πωληθέντων κατοικιών </a:t>
            </a:r>
            <a:r>
              <a:rPr lang="en-US" sz="1800" b="1" i="0" u="none" strike="noStrike" baseline="0">
                <a:effectLst/>
              </a:rPr>
              <a:t>20</a:t>
            </a:r>
            <a:r>
              <a:rPr lang="el-GR" sz="1800" b="1" i="0" u="none" strike="noStrike" baseline="0">
                <a:effectLst/>
              </a:rPr>
              <a:t>20</a:t>
            </a:r>
            <a:r>
              <a:rPr lang="el-GR"/>
              <a:t> </a:t>
            </a:r>
            <a:r>
              <a:rPr lang="el-GR" baseline="0"/>
              <a:t>                     </a:t>
            </a:r>
            <a:r>
              <a:rPr lang="el-GR"/>
              <a:t>Αττική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Φύλλο1!$B$1</c:f>
              <c:strCache>
                <c:ptCount val="1"/>
                <c:pt idx="0">
                  <c:v>Σειρά 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Φύλλο1!$A$2:$A$10</c:f>
              <c:strCache>
                <c:ptCount val="8"/>
                <c:pt idx="0">
                  <c:v>1-50 τ.μ.</c:v>
                </c:pt>
                <c:pt idx="1">
                  <c:v>51-70 τ.μ.</c:v>
                </c:pt>
                <c:pt idx="2">
                  <c:v>71-90 τ.μ.</c:v>
                </c:pt>
                <c:pt idx="3">
                  <c:v>91-110 τ.μ.</c:v>
                </c:pt>
                <c:pt idx="4">
                  <c:v>111-130 τ.μ.</c:v>
                </c:pt>
                <c:pt idx="5">
                  <c:v>131-150 τ.μ.</c:v>
                </c:pt>
                <c:pt idx="6">
                  <c:v>151-170 τ.μ</c:v>
                </c:pt>
                <c:pt idx="7">
                  <c:v>171 τ.μ. και άνω</c:v>
                </c:pt>
              </c:strCache>
            </c:strRef>
          </c:cat>
          <c:val>
            <c:numRef>
              <c:f>Φύλλο1!$B$2:$B$10</c:f>
              <c:numCache>
                <c:formatCode>General</c:formatCode>
                <c:ptCount val="9"/>
                <c:pt idx="0">
                  <c:v>15</c:v>
                </c:pt>
                <c:pt idx="1">
                  <c:v>18</c:v>
                </c:pt>
                <c:pt idx="2">
                  <c:v>21</c:v>
                </c:pt>
                <c:pt idx="3">
                  <c:v>15</c:v>
                </c:pt>
                <c:pt idx="4">
                  <c:v>7</c:v>
                </c:pt>
                <c:pt idx="5">
                  <c:v>4</c:v>
                </c:pt>
                <c:pt idx="6">
                  <c:v>6</c:v>
                </c:pt>
                <c:pt idx="7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3C-43A8-9C20-5948782A659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0273664"/>
        <c:axId val="70275456"/>
      </c:barChart>
      <c:catAx>
        <c:axId val="70273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0275456"/>
        <c:crosses val="autoZero"/>
        <c:auto val="1"/>
        <c:lblAlgn val="ctr"/>
        <c:lblOffset val="100"/>
        <c:noMultiLvlLbl val="0"/>
      </c:catAx>
      <c:valAx>
        <c:axId val="7027545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0273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 sz="1800" b="1" i="0" u="none" strike="noStrike" baseline="0">
                <a:effectLst/>
              </a:rPr>
              <a:t>Κατανομή με βάση το εμβαδόν των πωληθέντων κατοικιών </a:t>
            </a:r>
            <a:r>
              <a:rPr lang="en-US" sz="1800" b="1" i="0" u="none" strike="noStrike" baseline="0">
                <a:effectLst/>
              </a:rPr>
              <a:t>20</a:t>
            </a:r>
            <a:r>
              <a:rPr lang="el-GR" sz="1800" b="1" i="0" u="none" strike="noStrike" baseline="0">
                <a:effectLst/>
              </a:rPr>
              <a:t>20</a:t>
            </a:r>
            <a:r>
              <a:rPr lang="el-GR"/>
              <a:t> </a:t>
            </a:r>
            <a:r>
              <a:rPr lang="el-GR" baseline="0"/>
              <a:t>                     </a:t>
            </a:r>
            <a:r>
              <a:rPr lang="el-GR"/>
              <a:t>Θεσσαλονίκη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Φύλλο1!$B$1</c:f>
              <c:strCache>
                <c:ptCount val="1"/>
                <c:pt idx="0">
                  <c:v>Σειρά 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Φύλλο1!$A$2:$A$10</c:f>
              <c:strCache>
                <c:ptCount val="8"/>
                <c:pt idx="0">
                  <c:v>1-50 τ.μ.</c:v>
                </c:pt>
                <c:pt idx="1">
                  <c:v>51-70 τ.μ.</c:v>
                </c:pt>
                <c:pt idx="2">
                  <c:v>71-90 τ.μ.</c:v>
                </c:pt>
                <c:pt idx="3">
                  <c:v>91-110 τ.μ.</c:v>
                </c:pt>
                <c:pt idx="4">
                  <c:v>111-130 τ.μ.</c:v>
                </c:pt>
                <c:pt idx="5">
                  <c:v>131-150 τ.μ.</c:v>
                </c:pt>
                <c:pt idx="6">
                  <c:v>151-170 τ.μ</c:v>
                </c:pt>
                <c:pt idx="7">
                  <c:v>171 τ.μ. και άνω</c:v>
                </c:pt>
              </c:strCache>
            </c:strRef>
          </c:cat>
          <c:val>
            <c:numRef>
              <c:f>Φύλλο1!$B$2:$B$10</c:f>
              <c:numCache>
                <c:formatCode>General</c:formatCode>
                <c:ptCount val="9"/>
                <c:pt idx="0">
                  <c:v>21</c:v>
                </c:pt>
                <c:pt idx="1">
                  <c:v>17</c:v>
                </c:pt>
                <c:pt idx="2">
                  <c:v>34</c:v>
                </c:pt>
                <c:pt idx="3">
                  <c:v>13</c:v>
                </c:pt>
                <c:pt idx="4">
                  <c:v>3</c:v>
                </c:pt>
                <c:pt idx="5">
                  <c:v>3</c:v>
                </c:pt>
                <c:pt idx="6">
                  <c:v>5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CA-4C86-B54A-D061455B9F2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0359296"/>
        <c:axId val="70377472"/>
      </c:barChart>
      <c:catAx>
        <c:axId val="70359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0377472"/>
        <c:crosses val="autoZero"/>
        <c:auto val="1"/>
        <c:lblAlgn val="ctr"/>
        <c:lblOffset val="100"/>
        <c:noMultiLvlLbl val="0"/>
      </c:catAx>
      <c:valAx>
        <c:axId val="7037747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0359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 sz="1800" b="1" i="0" u="none" strike="noStrike" baseline="0">
                <a:effectLst/>
              </a:rPr>
              <a:t>Κατανομή με βάση το εμβαδόν των πωληθέντων κατοικιών </a:t>
            </a:r>
            <a:r>
              <a:rPr lang="en-US" sz="1800" b="1" i="0" u="none" strike="noStrike" baseline="0">
                <a:effectLst/>
              </a:rPr>
              <a:t>20</a:t>
            </a:r>
            <a:r>
              <a:rPr lang="el-GR" sz="1800" b="1" i="0" u="none" strike="noStrike" baseline="0">
                <a:effectLst/>
              </a:rPr>
              <a:t>20</a:t>
            </a:r>
            <a:r>
              <a:rPr lang="el-GR"/>
              <a:t> </a:t>
            </a:r>
            <a:r>
              <a:rPr lang="el-GR" baseline="0"/>
              <a:t>                     </a:t>
            </a:r>
            <a:r>
              <a:rPr lang="el-GR"/>
              <a:t>Υπόλοιπη Ελλάδα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Φύλλο1!$B$1</c:f>
              <c:strCache>
                <c:ptCount val="1"/>
                <c:pt idx="0">
                  <c:v>Σειρά 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Φύλλο1!$A$2:$A$10</c:f>
              <c:strCache>
                <c:ptCount val="8"/>
                <c:pt idx="0">
                  <c:v>1-50 τ.μ.</c:v>
                </c:pt>
                <c:pt idx="1">
                  <c:v>51-70 τ.μ.</c:v>
                </c:pt>
                <c:pt idx="2">
                  <c:v>71-90 τ.μ.</c:v>
                </c:pt>
                <c:pt idx="3">
                  <c:v>91-110 τ.μ.</c:v>
                </c:pt>
                <c:pt idx="4">
                  <c:v>111-130 τ.μ.</c:v>
                </c:pt>
                <c:pt idx="5">
                  <c:v>131-150 τ.μ.</c:v>
                </c:pt>
                <c:pt idx="6">
                  <c:v>151-170 τ.μ</c:v>
                </c:pt>
                <c:pt idx="7">
                  <c:v>171 τ.μ. και άνω</c:v>
                </c:pt>
              </c:strCache>
            </c:strRef>
          </c:cat>
          <c:val>
            <c:numRef>
              <c:f>Φύλλο1!$B$2:$B$10</c:f>
              <c:numCache>
                <c:formatCode>General</c:formatCode>
                <c:ptCount val="9"/>
                <c:pt idx="0">
                  <c:v>24</c:v>
                </c:pt>
                <c:pt idx="1">
                  <c:v>15</c:v>
                </c:pt>
                <c:pt idx="2">
                  <c:v>17</c:v>
                </c:pt>
                <c:pt idx="3">
                  <c:v>11</c:v>
                </c:pt>
                <c:pt idx="4">
                  <c:v>7</c:v>
                </c:pt>
                <c:pt idx="5">
                  <c:v>3</c:v>
                </c:pt>
                <c:pt idx="6">
                  <c:v>2</c:v>
                </c:pt>
                <c:pt idx="7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7C-4D06-98DA-E5AD53C045E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0445696"/>
        <c:axId val="70825088"/>
      </c:barChart>
      <c:catAx>
        <c:axId val="70445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0825088"/>
        <c:crosses val="autoZero"/>
        <c:auto val="1"/>
        <c:lblAlgn val="ctr"/>
        <c:lblOffset val="100"/>
        <c:noMultiLvlLbl val="0"/>
      </c:catAx>
      <c:valAx>
        <c:axId val="7082508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0445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6692F-5F01-4C18-958B-5D4DBE90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481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remaxgreece</Company>
  <LinksUpToDate>false</LinksUpToDate>
  <CharactersWithSpaces>3077</CharactersWithSpaces>
  <SharedDoc>false</SharedDoc>
  <HLinks>
    <vt:vector size="6" baseType="variant">
      <vt:variant>
        <vt:i4>3735672</vt:i4>
      </vt:variant>
      <vt:variant>
        <vt:i4>0</vt:i4>
      </vt:variant>
      <vt:variant>
        <vt:i4>0</vt:i4>
      </vt:variant>
      <vt:variant>
        <vt:i4>5</vt:i4>
      </vt:variant>
      <vt:variant>
        <vt:lpwstr>http://www.statistics.gr/el/statistics/-/publication/SJU24/2016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remaxgreece</dc:creator>
  <cp:lastModifiedBy>Remax</cp:lastModifiedBy>
  <cp:revision>2</cp:revision>
  <cp:lastPrinted>2021-02-09T13:34:00Z</cp:lastPrinted>
  <dcterms:created xsi:type="dcterms:W3CDTF">2021-06-22T07:08:00Z</dcterms:created>
  <dcterms:modified xsi:type="dcterms:W3CDTF">2021-06-22T07:08:00Z</dcterms:modified>
</cp:coreProperties>
</file>